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Ind w:type="dxa" w:w="-414"/>
        <w:tblBorders>
          <w:top w:color="000001" w:space="0" w:sz="2" w:val="single"/>
          <w:left w:color="000001" w:space="0" w:sz="2" w:val="single"/>
          <w:bottom w:color="000001" w:space="0" w:sz="2" w:val="single"/>
        </w:tblBorders>
      </w:tblPr>
      <w:tblGrid>
        <w:gridCol w:w="4781"/>
        <w:gridCol w:w="4945"/>
      </w:tblGrid>
      <w:tr>
        <w:trPr>
          <w:trHeight w:hRule="atLeast" w:val="1070"/>
          <w:cantSplit w:val="false"/>
        </w:trPr>
        <w:tc>
          <w:tcPr>
            <w:tcW w:type="dxa" w:w="478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
              <w:numPr>
                <w:ilvl w:val="7"/>
                <w:numId w:val="4"/>
              </w:numPr>
              <w:spacing w:after="60" w:before="240"/>
              <w:contextualSpacing w:val="false"/>
              <w:jc w:val="center"/>
            </w:pPr>
            <w:r>
              <w:rPr/>
            </w:r>
          </w:p>
        </w:tc>
        <w:tc>
          <w:tcPr>
            <w:tcW w:type="dxa" w:w="494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
              <w:keepNext/>
              <w:widowControl/>
              <w:numPr>
                <w:ilvl w:val="3"/>
                <w:numId w:val="4"/>
              </w:numPr>
              <w:spacing w:after="60" w:before="240"/>
              <w:contextualSpacing w:val="false"/>
              <w:jc w:val="center"/>
            </w:pPr>
            <w:r>
              <w:rPr>
                <w:rFonts w:ascii="Arial" w:cs="Arial" w:hAnsi="Arial"/>
                <w:b/>
                <w:bCs/>
                <w:color w:val="333333"/>
                <w:sz w:val="24"/>
                <w:szCs w:val="24"/>
              </w:rPr>
              <w:t>Conselho Superior Acadêmico</w:t>
            </w:r>
          </w:p>
          <w:p>
            <w:pPr>
              <w:pStyle w:val="style0"/>
              <w:spacing w:after="200" w:before="0"/>
              <w:contextualSpacing w:val="false"/>
              <w:jc w:val="center"/>
            </w:pPr>
            <w:r>
              <w:rPr>
                <w:rFonts w:ascii="Arial" w:cs="Arial" w:hAnsi="Arial"/>
                <w:b/>
                <w:bCs/>
                <w:color w:val="333333"/>
                <w:sz w:val="24"/>
                <w:szCs w:val="24"/>
              </w:rPr>
              <w:t>CONSEA</w:t>
            </w:r>
          </w:p>
        </w:tc>
      </w:tr>
      <w:tr>
        <w:trPr>
          <w:trHeight w:hRule="atLeast" w:val="357"/>
          <w:cantSplit w:val="true"/>
        </w:trPr>
        <w:tc>
          <w:tcPr>
            <w:tcW w:type="dxa" w:w="478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rPr>
              <w:t xml:space="preserve">Processo: </w:t>
            </w:r>
            <w:r>
              <w:rPr>
                <w:rFonts w:ascii="Arial" w:cs="Arial" w:hAnsi="Arial"/>
              </w:rPr>
              <w:t>23118.002897/2013-17</w:t>
            </w:r>
          </w:p>
        </w:tc>
        <w:tc>
          <w:tcPr>
            <w:tcW w:type="dxa" w:w="4945"/>
            <w:vMerge w:val="restart"/>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cs="Arial" w:hAnsi="Arial"/>
                <w:color w:val="333333"/>
              </w:rPr>
              <w:t>Da Presidência dos Conselhos Superiores</w:t>
            </w:r>
          </w:p>
          <w:p>
            <w:pPr>
              <w:pStyle w:val="style0"/>
              <w:jc w:val="center"/>
            </w:pPr>
            <w:r>
              <w:rPr/>
            </w:r>
          </w:p>
          <w:p>
            <w:pPr>
              <w:pStyle w:val="style0"/>
              <w:jc w:val="center"/>
            </w:pPr>
            <w:r>
              <w:rPr>
                <w:rFonts w:ascii="Arial" w:hAnsi="Arial"/>
                <w:b/>
                <w:bCs/>
              </w:rPr>
              <w:t>HOMOLOGADO EM 11.12.2013</w:t>
            </w:r>
          </w:p>
          <w:p>
            <w:pPr>
              <w:pStyle w:val="style0"/>
              <w:spacing w:after="200" w:before="0"/>
              <w:contextualSpacing w:val="false"/>
              <w:jc w:val="center"/>
            </w:pPr>
            <w:r>
              <w:rPr/>
            </w:r>
          </w:p>
        </w:tc>
      </w:tr>
      <w:tr>
        <w:trPr>
          <w:trHeight w:hRule="atLeast" w:val="426"/>
          <w:cantSplit w:val="true"/>
        </w:trPr>
        <w:tc>
          <w:tcPr>
            <w:tcW w:type="dxa" w:w="4781"/>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8835" w:val="left"/>
              </w:tabs>
              <w:spacing w:after="200" w:before="0"/>
              <w:ind w:hanging="0" w:left="0" w:right="180"/>
              <w:contextualSpacing w:val="false"/>
              <w:jc w:val="both"/>
            </w:pPr>
            <w:r>
              <w:rPr>
                <w:rFonts w:ascii="Arial" w:cs="Arial" w:hAnsi="Arial"/>
                <w:b/>
                <w:color w:val="333333"/>
              </w:rPr>
              <w:t>Parecer</w:t>
            </w:r>
            <w:r>
              <w:rPr>
                <w:rFonts w:ascii="Arial" w:cs="Arial" w:hAnsi="Arial"/>
                <w:color w:val="333333"/>
              </w:rPr>
              <w:t>: 1524/CPG</w:t>
            </w:r>
          </w:p>
        </w:tc>
        <w:tc>
          <w:tcPr>
            <w:tcW w:type="dxa" w:w="4945"/>
            <w:vMerge w:val="continue"/>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
          </w:p>
        </w:tc>
      </w:tr>
      <w:tr>
        <w:trPr>
          <w:trHeight w:hRule="atLeast" w:val="426"/>
          <w:cantSplit w:val="true"/>
        </w:trPr>
        <w:tc>
          <w:tcPr>
            <w:tcW w:type="dxa" w:w="4781"/>
            <w:tcBorders>
              <w:left w:color="000001" w:space="0" w:sz="2" w:val="single"/>
              <w:bottom w:color="000001" w:space="0" w:sz="2" w:val="single"/>
            </w:tcBorders>
            <w:shd w:fill="FFFFFF" w:val="clear"/>
            <w:tcMar>
              <w:top w:type="dxa" w:w="0"/>
              <w:left w:type="dxa" w:w="108"/>
              <w:bottom w:type="dxa" w:w="0"/>
              <w:right w:type="dxa" w:w="108"/>
            </w:tcMar>
          </w:tcPr>
          <w:p>
            <w:pPr>
              <w:pStyle w:val="style8"/>
              <w:numPr>
                <w:ilvl w:val="7"/>
                <w:numId w:val="4"/>
              </w:numPr>
              <w:tabs>
                <w:tab w:leader="none" w:pos="0" w:val="left"/>
              </w:tabs>
              <w:spacing w:after="0" w:before="0" w:line="200" w:lineRule="atLeast"/>
              <w:contextualSpacing w:val="false"/>
              <w:jc w:val="center"/>
            </w:pPr>
            <w:r>
              <w:rPr/>
            </w:r>
          </w:p>
          <w:p>
            <w:pPr>
              <w:pStyle w:val="style8"/>
              <w:numPr>
                <w:ilvl w:val="7"/>
                <w:numId w:val="4"/>
              </w:numPr>
              <w:tabs>
                <w:tab w:leader="none" w:pos="0" w:val="left"/>
              </w:tabs>
              <w:spacing w:after="0" w:before="0" w:line="200" w:lineRule="atLeast"/>
              <w:contextualSpacing w:val="false"/>
              <w:jc w:val="center"/>
            </w:pPr>
            <w:r>
              <w:rPr/>
            </w:r>
          </w:p>
          <w:p>
            <w:pPr>
              <w:pStyle w:val="style8"/>
              <w:numPr>
                <w:ilvl w:val="7"/>
                <w:numId w:val="4"/>
              </w:numPr>
              <w:tabs>
                <w:tab w:leader="none" w:pos="0" w:val="left"/>
              </w:tabs>
              <w:spacing w:after="0" w:before="0" w:line="200" w:lineRule="atLeast"/>
              <w:contextualSpacing w:val="false"/>
              <w:jc w:val="center"/>
            </w:pPr>
            <w:r>
              <w:rPr>
                <w:rFonts w:ascii="Arial" w:cs="Arial" w:hAnsi="Arial"/>
                <w:b/>
                <w:bCs/>
                <w:i w:val="false"/>
                <w:iCs w:val="false"/>
                <w:color w:val="4C4C4C"/>
                <w:lang w:eastAsia="en-US"/>
              </w:rPr>
              <w:t>Câmara de Pós-Graduação – CPG</w:t>
            </w:r>
          </w:p>
          <w:p>
            <w:pPr>
              <w:pStyle w:val="style0"/>
              <w:spacing w:after="200" w:before="0"/>
              <w:contextualSpacing w:val="false"/>
              <w:jc w:val="center"/>
            </w:pPr>
            <w:r>
              <w:rPr/>
            </w:r>
          </w:p>
        </w:tc>
        <w:tc>
          <w:tcPr>
            <w:tcW w:type="dxa" w:w="4945"/>
            <w:vMerge w:val="continue"/>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
          </w:p>
        </w:tc>
      </w:tr>
      <w:tr>
        <w:trPr>
          <w:cantSplit w:val="false"/>
        </w:trPr>
        <w:tc>
          <w:tcPr>
            <w:tcW w:type="dxa" w:w="9726"/>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 xml:space="preserve">Assunto: </w:t>
            </w:r>
            <w:r>
              <w:rPr>
                <w:rFonts w:ascii="Arial" w:cs="Arial" w:hAnsi="Arial"/>
                <w:bCs/>
              </w:rPr>
              <w:t>PROJETO DE IMPLANTAÇÃO DO PROGRAMA DE DOUTORADO EM DESENVOLVIMENTO REGIONAL E MEIO AMBIENTE</w:t>
            </w:r>
          </w:p>
        </w:tc>
      </w:tr>
      <w:tr>
        <w:trPr>
          <w:cantSplit w:val="false"/>
        </w:trPr>
        <w:tc>
          <w:tcPr>
            <w:tcW w:type="dxa" w:w="9726"/>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Interessado</w:t>
            </w:r>
            <w:r>
              <w:rPr>
                <w:rFonts w:ascii="Arial" w:cs="Arial" w:hAnsi="Arial"/>
              </w:rPr>
              <w:t xml:space="preserve">: PROGRAMA DE PÓS-GRADUAÇÃO EM </w:t>
            </w:r>
            <w:r>
              <w:rPr>
                <w:rFonts w:ascii="Arial" w:cs="Arial" w:hAnsi="Arial"/>
                <w:bCs/>
              </w:rPr>
              <w:t>DESENVOLVIMENTO REGIONAL E MEIO AMBIENTE (PGDRA)</w:t>
            </w:r>
          </w:p>
        </w:tc>
      </w:tr>
      <w:tr>
        <w:trPr>
          <w:cantSplit w:val="false"/>
        </w:trPr>
        <w:tc>
          <w:tcPr>
            <w:tcW w:type="dxa" w:w="9726"/>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 xml:space="preserve">Relator: </w:t>
            </w:r>
            <w:r>
              <w:rPr>
                <w:rFonts w:ascii="Arial" w:cs="Arial" w:hAnsi="Arial"/>
                <w:bCs/>
              </w:rPr>
              <w:t>Conselheiro José Juliano Cedaro</w:t>
            </w:r>
          </w:p>
        </w:tc>
      </w:tr>
    </w:tbl>
    <w:p>
      <w:pPr>
        <w:pStyle w:val="style0"/>
        <w:spacing w:after="0" w:before="0" w:line="100" w:lineRule="atLeast"/>
        <w:ind w:hanging="0" w:left="-284" w:right="0"/>
        <w:contextualSpacing w:val="false"/>
      </w:pPr>
      <w:r>
        <w:rPr/>
      </w:r>
    </w:p>
    <w:p>
      <w:pPr>
        <w:pStyle w:val="style0"/>
        <w:spacing w:after="0" w:before="0" w:line="100" w:lineRule="atLeast"/>
        <w:ind w:hanging="0" w:left="-284" w:right="0"/>
        <w:contextualSpacing w:val="false"/>
      </w:pPr>
      <w:r>
        <w:rPr>
          <w:rFonts w:ascii="Arial" w:cs="Arial" w:hAnsi="Arial"/>
          <w:b/>
        </w:rPr>
        <w:t>Parecer da Câmara:</w:t>
      </w:r>
    </w:p>
    <w:p>
      <w:pPr>
        <w:pStyle w:val="style0"/>
        <w:spacing w:after="0" w:before="0" w:line="100" w:lineRule="atLeast"/>
        <w:ind w:firstLine="700" w:left="-284" w:right="-285"/>
        <w:contextualSpacing w:val="false"/>
        <w:jc w:val="both"/>
      </w:pPr>
      <w:r>
        <w:rPr/>
      </w:r>
    </w:p>
    <w:p>
      <w:pPr>
        <w:pStyle w:val="style0"/>
        <w:spacing w:after="0" w:before="0" w:line="360" w:lineRule="auto"/>
        <w:ind w:firstLine="700" w:left="-284" w:right="-285"/>
        <w:contextualSpacing w:val="false"/>
        <w:jc w:val="both"/>
      </w:pPr>
      <w:r>
        <w:rPr>
          <w:rFonts w:ascii="Arial" w:cs="Arial" w:hAnsi="Arial"/>
          <w:color w:val="333333"/>
        </w:rPr>
        <w:t>Na 51ª sessão ordinária, em 02.12.2013, a câmara acompanha o parecer 1524/CPG, cujo relator é favorável ao projeto.</w:t>
      </w:r>
    </w:p>
    <w:p>
      <w:pPr>
        <w:pStyle w:val="style0"/>
        <w:spacing w:line="100" w:lineRule="atLeast"/>
        <w:ind w:firstLine="708" w:left="-341" w:right="-327"/>
        <w:jc w:val="both"/>
      </w:pPr>
      <w:r>
        <w:rPr>
          <w:rFonts w:ascii="Arial" w:cs="Arial" w:eastAsia="Arial" w:hAnsi="Arial"/>
        </w:rPr>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color w:val="4C4C4C"/>
        </w:rPr>
        <w:t>Conselheiro Marcelo Vergotti</w:t>
      </w:r>
    </w:p>
    <w:p>
      <w:pPr>
        <w:pStyle w:val="style0"/>
        <w:spacing w:after="0" w:before="0" w:line="100" w:lineRule="atLeast"/>
        <w:ind w:hanging="0" w:left="0" w:right="15"/>
        <w:contextualSpacing w:val="false"/>
        <w:jc w:val="center"/>
      </w:pPr>
      <w:r>
        <w:rPr>
          <w:rFonts w:ascii="Arial" w:cs="Arial" w:hAnsi="Arial"/>
          <w:color w:val="4C4C4C"/>
        </w:rPr>
        <w:t>Presidente</w:t>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p>
      <w:pPr>
        <w:pStyle w:val="style0"/>
        <w:spacing w:after="0" w:before="0" w:line="100" w:lineRule="atLeast"/>
        <w:ind w:hanging="0" w:left="0" w:right="15"/>
        <w:contextualSpacing w:val="false"/>
        <w:jc w:val="center"/>
      </w:pPr>
      <w:r>
        <w:rPr/>
      </w:r>
    </w:p>
    <w:tbl>
      <w:tblPr>
        <w:jc w:val="left"/>
        <w:tblInd w:type="dxa" w:w="-58"/>
        <w:tblBorders>
          <w:top w:color="000001" w:space="0" w:sz="4" w:val="single"/>
          <w:left w:color="000001" w:space="0" w:sz="4" w:val="single"/>
          <w:bottom w:color="000001" w:space="0" w:sz="4" w:val="single"/>
        </w:tblBorders>
      </w:tblPr>
      <w:tblGrid>
        <w:gridCol w:w="4472"/>
        <w:gridCol w:w="4678"/>
      </w:tblGrid>
      <w:tr>
        <w:trPr>
          <w:trHeight w:hRule="atLeast" w:val="883"/>
          <w:cantSplit w:val="false"/>
        </w:trPr>
        <w:tc>
          <w:tcPr>
            <w:tcW w:type="dxa" w:w="44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
              <w:numPr>
                <w:ilvl w:val="7"/>
                <w:numId w:val="2"/>
              </w:numPr>
              <w:tabs>
                <w:tab w:leader="none" w:pos="0" w:val="left"/>
              </w:tabs>
              <w:spacing w:after="0" w:before="0"/>
              <w:contextualSpacing w:val="false"/>
              <w:jc w:val="both"/>
            </w:pPr>
            <w:r>
              <w:rPr/>
            </w:r>
          </w:p>
        </w:tc>
        <w:tc>
          <w:tcPr>
            <w:tcW w:type="dxa" w:w="46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
              <w:numPr>
                <w:ilvl w:val="6"/>
                <w:numId w:val="2"/>
              </w:numPr>
              <w:tabs>
                <w:tab w:leader="none" w:pos="0" w:val="left"/>
              </w:tabs>
              <w:spacing w:after="0" w:before="0"/>
              <w:contextualSpacing w:val="false"/>
              <w:jc w:val="both"/>
            </w:pPr>
            <w:r>
              <w:rPr/>
            </w:r>
          </w:p>
          <w:p>
            <w:pPr>
              <w:pStyle w:val="style0"/>
              <w:spacing w:after="200" w:before="0"/>
              <w:contextualSpacing w:val="false"/>
              <w:jc w:val="both"/>
            </w:pPr>
            <w:r>
              <w:rPr>
                <w:rFonts w:ascii="Arial" w:cs="Arial" w:hAnsi="Arial"/>
                <w:b/>
              </w:rPr>
              <w:t xml:space="preserve">Processo: </w:t>
            </w:r>
            <w:r>
              <w:rPr>
                <w:rFonts w:ascii="Arial" w:cs="Arial" w:hAnsi="Arial"/>
              </w:rPr>
              <w:t>23118.002897/2013-17</w:t>
            </w:r>
          </w:p>
        </w:tc>
      </w:tr>
      <w:tr>
        <w:trPr>
          <w:trHeight w:hRule="atLeast" w:val="883"/>
          <w:cantSplit w:val="false"/>
        </w:trPr>
        <w:tc>
          <w:tcPr>
            <w:tcW w:type="dxa" w:w="44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
              <w:numPr>
                <w:ilvl w:val="7"/>
                <w:numId w:val="4"/>
              </w:numPr>
              <w:tabs>
                <w:tab w:leader="none" w:pos="0" w:val="left"/>
              </w:tabs>
              <w:spacing w:after="0" w:before="0" w:line="200" w:lineRule="atLeast"/>
              <w:contextualSpacing w:val="false"/>
              <w:jc w:val="center"/>
            </w:pPr>
            <w:r>
              <w:rPr>
                <w:rFonts w:ascii="Arial" w:cs="Arial" w:hAnsi="Arial"/>
                <w:b/>
                <w:bCs/>
                <w:i w:val="false"/>
                <w:iCs w:val="false"/>
                <w:color w:val="4C4C4C"/>
                <w:lang w:eastAsia="en-US"/>
              </w:rPr>
              <w:t>Câmara de Pós-Graduação – CPG</w:t>
            </w:r>
          </w:p>
          <w:p>
            <w:pPr>
              <w:pStyle w:val="style8"/>
              <w:numPr>
                <w:ilvl w:val="7"/>
                <w:numId w:val="2"/>
              </w:numPr>
              <w:tabs>
                <w:tab w:leader="none" w:pos="0" w:val="left"/>
              </w:tabs>
              <w:spacing w:after="0" w:before="0"/>
              <w:contextualSpacing w:val="false"/>
              <w:jc w:val="both"/>
            </w:pPr>
            <w:r>
              <w:rPr/>
            </w:r>
          </w:p>
        </w:tc>
        <w:tc>
          <w:tcPr>
            <w:tcW w:type="dxa" w:w="46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
              <w:numPr>
                <w:ilvl w:val="6"/>
                <w:numId w:val="2"/>
              </w:numPr>
              <w:tabs>
                <w:tab w:leader="none" w:pos="0" w:val="left"/>
              </w:tabs>
              <w:spacing w:after="0" w:before="0"/>
              <w:contextualSpacing w:val="false"/>
              <w:jc w:val="both"/>
            </w:pPr>
            <w:r>
              <w:rPr>
                <w:rFonts w:ascii="Arial" w:cs="Arial" w:hAnsi="Arial"/>
              </w:rPr>
              <w:t>Parecer: 1524/CPG</w:t>
            </w:r>
          </w:p>
        </w:tc>
      </w:tr>
      <w:tr>
        <w:trPr>
          <w:cantSplit w:val="false"/>
        </w:trPr>
        <w:tc>
          <w:tcPr>
            <w:tcW w:type="dxa" w:w="9150"/>
            <w:gridSpan w:val="2"/>
            <w:tcBorders>
              <w:top w:color="000001" w:space="0" w:sz="4" w:val="single"/>
              <w:left w:color="000001" w:space="0" w:sz="4" w:val="single"/>
              <w:bottom w:color="000001" w:space="0" w:sz="4" w:val="single"/>
              <w:right w:color="000001" w:space="0" w:sz="4" w:val="single"/>
            </w:tcBorders>
            <w:shd w:fill="E5E5E5" w:val="clear"/>
            <w:tcMar>
              <w:top w:type="dxa" w:w="0"/>
              <w:left w:type="dxa" w:w="108"/>
              <w:bottom w:type="dxa" w:w="0"/>
              <w:right w:type="dxa" w:w="108"/>
            </w:tcMar>
          </w:tcPr>
          <w:p>
            <w:pPr>
              <w:pStyle w:val="style7"/>
              <w:numPr>
                <w:ilvl w:val="6"/>
                <w:numId w:val="2"/>
              </w:numPr>
              <w:tabs>
                <w:tab w:leader="none" w:pos="0" w:val="left"/>
              </w:tabs>
              <w:spacing w:after="0" w:before="0"/>
              <w:contextualSpacing w:val="false"/>
              <w:jc w:val="both"/>
            </w:pPr>
            <w:r>
              <w:rPr/>
            </w:r>
          </w:p>
        </w:tc>
      </w:tr>
      <w:tr>
        <w:trPr>
          <w:trHeight w:hRule="atLeast" w:val="260"/>
          <w:cantSplit w:val="false"/>
        </w:trPr>
        <w:tc>
          <w:tcPr>
            <w:tcW w:type="dxa" w:w="9150"/>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 xml:space="preserve">Assunto: </w:t>
            </w:r>
            <w:r>
              <w:rPr>
                <w:rFonts w:ascii="Arial" w:cs="Arial" w:hAnsi="Arial"/>
                <w:bCs/>
              </w:rPr>
              <w:t>PROJETO DE IMPLANTAÇÃO DO PROGRAMA DE DOUTORADO EM DESENVOLVIMENTO REGIONAL E MEIO AMBIENTE</w:t>
            </w:r>
          </w:p>
        </w:tc>
      </w:tr>
      <w:tr>
        <w:trPr>
          <w:trHeight w:hRule="atLeast" w:val="260"/>
          <w:cantSplit w:val="false"/>
        </w:trPr>
        <w:tc>
          <w:tcPr>
            <w:tcW w:type="dxa" w:w="9150"/>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Interessado</w:t>
            </w:r>
            <w:r>
              <w:rPr>
                <w:rFonts w:ascii="Arial" w:cs="Arial" w:hAnsi="Arial"/>
              </w:rPr>
              <w:t xml:space="preserve">: PROGRAMA DE PÓS-GRADUAÇÃO EM </w:t>
            </w:r>
            <w:r>
              <w:rPr>
                <w:rFonts w:ascii="Arial" w:cs="Arial" w:hAnsi="Arial"/>
                <w:bCs/>
              </w:rPr>
              <w:t>DESENVOLVIMENTO REGIONAL E MEIO AMBIENTE (PGDRA)</w:t>
            </w:r>
          </w:p>
        </w:tc>
      </w:tr>
      <w:tr>
        <w:trPr>
          <w:trHeight w:hRule="atLeast" w:val="260"/>
          <w:cantSplit w:val="false"/>
        </w:trPr>
        <w:tc>
          <w:tcPr>
            <w:tcW w:type="dxa" w:w="9150"/>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contextualSpacing w:val="false"/>
              <w:jc w:val="both"/>
            </w:pPr>
            <w:r>
              <w:rPr>
                <w:rFonts w:ascii="Arial" w:cs="Arial" w:hAnsi="Arial"/>
                <w:b/>
                <w:bCs/>
              </w:rPr>
              <w:t xml:space="preserve">Parecer: </w:t>
            </w:r>
            <w:r>
              <w:rPr>
                <w:rFonts w:ascii="Arial" w:cs="Arial" w:hAnsi="Arial"/>
                <w:bCs/>
              </w:rPr>
              <w:t>Conselheiro Dr. José Juliano Cedaro</w:t>
            </w:r>
          </w:p>
        </w:tc>
      </w:tr>
    </w:tbl>
    <w:p>
      <w:pPr>
        <w:pStyle w:val="style0"/>
        <w:jc w:val="both"/>
      </w:pPr>
      <w:r>
        <w:rPr>
          <w:rFonts w:ascii="Arial" w:cs="Arial" w:hAnsi="Arial"/>
          <w:b/>
        </w:rPr>
        <w:t>I – RELATORIO</w:t>
      </w:r>
      <w:r>
        <w:rPr>
          <w:rFonts w:ascii="Arial" w:cs="Arial" w:hAnsi="Arial"/>
        </w:rPr>
        <w:t>:</w:t>
      </w:r>
    </w:p>
    <w:p>
      <w:pPr>
        <w:pStyle w:val="style0"/>
        <w:jc w:val="both"/>
      </w:pPr>
      <w:r>
        <w:rPr/>
      </w:r>
    </w:p>
    <w:p>
      <w:pPr>
        <w:pStyle w:val="style0"/>
        <w:jc w:val="both"/>
      </w:pPr>
      <w:r>
        <w:rPr>
          <w:rFonts w:ascii="Arial" w:cs="Arial" w:hAnsi="Arial"/>
          <w:b/>
        </w:rPr>
        <w:t xml:space="preserve">DO PEDIDO e DOCUMENTOS INCLUIDOS NO PROCESSO: </w:t>
      </w:r>
    </w:p>
    <w:p>
      <w:pPr>
        <w:pStyle w:val="style0"/>
        <w:jc w:val="both"/>
      </w:pPr>
      <w:r>
        <w:rPr/>
      </w:r>
    </w:p>
    <w:p>
      <w:pPr>
        <w:pStyle w:val="style36"/>
        <w:spacing w:after="0" w:before="0" w:line="100" w:lineRule="atLeast"/>
        <w:ind w:hanging="0" w:left="0" w:right="0"/>
        <w:contextualSpacing w:val="false"/>
        <w:jc w:val="both"/>
      </w:pPr>
      <w:r>
        <w:rPr>
          <w:rFonts w:ascii="Arial" w:cs="Arial" w:hAnsi="Arial"/>
        </w:rPr>
        <w:tab/>
        <w:t xml:space="preserve">Trata-se de projeto de implantação do Programa Doutorado em </w:t>
      </w:r>
      <w:r>
        <w:rPr>
          <w:rFonts w:ascii="Arial" w:cs="Arial" w:hAnsi="Arial"/>
          <w:bCs/>
        </w:rPr>
        <w:t>DESENVOLVIMENTO REGIONAL E MEIO AMBIENTE. Para tanto, estão incluídos os seguintes documentos:</w:t>
      </w:r>
    </w:p>
    <w:p>
      <w:pPr>
        <w:pStyle w:val="style36"/>
        <w:numPr>
          <w:ilvl w:val="0"/>
          <w:numId w:val="3"/>
        </w:numPr>
        <w:spacing w:after="0" w:before="0" w:line="100" w:lineRule="atLeast"/>
        <w:contextualSpacing w:val="false"/>
        <w:jc w:val="both"/>
      </w:pPr>
      <w:r>
        <w:rPr>
          <w:rFonts w:ascii="Arial" w:cs="Arial" w:hAnsi="Arial"/>
        </w:rPr>
        <w:t>Memorando 082/2013/PGDRA para o NCTE pedindo abertura do processo (fl. 01)</w:t>
      </w:r>
    </w:p>
    <w:p>
      <w:pPr>
        <w:pStyle w:val="style36"/>
        <w:numPr>
          <w:ilvl w:val="0"/>
          <w:numId w:val="3"/>
        </w:numPr>
        <w:spacing w:after="0" w:before="0" w:line="100" w:lineRule="atLeast"/>
        <w:contextualSpacing w:val="false"/>
        <w:jc w:val="both"/>
      </w:pPr>
      <w:r>
        <w:rPr>
          <w:rFonts w:ascii="Arial" w:cs="Arial" w:hAnsi="Arial"/>
        </w:rPr>
        <w:t>Regimento interno do Programa (fls. 02 a 22)</w:t>
      </w:r>
    </w:p>
    <w:p>
      <w:pPr>
        <w:pStyle w:val="style36"/>
        <w:numPr>
          <w:ilvl w:val="0"/>
          <w:numId w:val="3"/>
        </w:numPr>
        <w:spacing w:after="0" w:before="0" w:line="100" w:lineRule="atLeast"/>
        <w:contextualSpacing w:val="false"/>
        <w:jc w:val="both"/>
      </w:pPr>
      <w:r>
        <w:rPr>
          <w:rFonts w:ascii="Arial" w:cs="Arial" w:hAnsi="Arial"/>
        </w:rPr>
        <w:t>Cópia do APCN e da página da CAPES recomendando o Programa (fls. 23 a 93).</w:t>
      </w:r>
    </w:p>
    <w:p>
      <w:pPr>
        <w:pStyle w:val="style36"/>
        <w:numPr>
          <w:ilvl w:val="0"/>
          <w:numId w:val="3"/>
        </w:numPr>
        <w:spacing w:after="0" w:before="0" w:line="100" w:lineRule="atLeast"/>
        <w:contextualSpacing w:val="false"/>
        <w:jc w:val="both"/>
      </w:pPr>
      <w:r>
        <w:rPr>
          <w:rFonts w:ascii="Arial" w:cs="Arial" w:hAnsi="Arial"/>
        </w:rPr>
        <w:t>Boletim de Serviço com a Portaria 054/NECT/2012 (comissão para elaboração do projeto)- fl. 94.</w:t>
      </w:r>
    </w:p>
    <w:p>
      <w:pPr>
        <w:pStyle w:val="style36"/>
        <w:numPr>
          <w:ilvl w:val="0"/>
          <w:numId w:val="3"/>
        </w:numPr>
        <w:spacing w:after="0" w:before="0" w:line="100" w:lineRule="atLeast"/>
        <w:contextualSpacing w:val="false"/>
        <w:jc w:val="both"/>
      </w:pPr>
      <w:r>
        <w:rPr>
          <w:rFonts w:ascii="Arial" w:cs="Arial" w:hAnsi="Arial"/>
        </w:rPr>
        <w:t>Ata do Colegiado do PGDRA (fls. 95 e 96)</w:t>
      </w:r>
    </w:p>
    <w:p>
      <w:pPr>
        <w:pStyle w:val="style36"/>
        <w:numPr>
          <w:ilvl w:val="0"/>
          <w:numId w:val="3"/>
        </w:numPr>
        <w:spacing w:after="0" w:before="0" w:line="100" w:lineRule="atLeast"/>
        <w:contextualSpacing w:val="false"/>
        <w:jc w:val="both"/>
      </w:pPr>
      <w:r>
        <w:rPr>
          <w:rFonts w:ascii="Arial" w:cs="Arial" w:hAnsi="Arial"/>
        </w:rPr>
        <w:t>Ata do Conselho do NCET, aprovando a proposta (fls, 97 e 98)</w:t>
      </w:r>
    </w:p>
    <w:p>
      <w:pPr>
        <w:pStyle w:val="style36"/>
        <w:numPr>
          <w:ilvl w:val="0"/>
          <w:numId w:val="3"/>
        </w:numPr>
        <w:spacing w:after="0" w:before="0" w:line="100" w:lineRule="atLeast"/>
        <w:contextualSpacing w:val="false"/>
        <w:jc w:val="both"/>
      </w:pPr>
      <w:r>
        <w:rPr>
          <w:rFonts w:ascii="Arial" w:cs="Arial" w:hAnsi="Arial"/>
        </w:rPr>
        <w:t>Nova cópia do APCN (fls. 99 a 160)</w:t>
      </w:r>
    </w:p>
    <w:p>
      <w:pPr>
        <w:pStyle w:val="style36"/>
        <w:numPr>
          <w:ilvl w:val="0"/>
          <w:numId w:val="3"/>
        </w:numPr>
        <w:spacing w:after="0" w:before="0" w:line="100" w:lineRule="atLeast"/>
        <w:contextualSpacing w:val="false"/>
        <w:jc w:val="both"/>
      </w:pPr>
      <w:r>
        <w:rPr>
          <w:rFonts w:ascii="Arial" w:cs="Arial" w:hAnsi="Arial"/>
        </w:rPr>
        <w:t>Parecer 015/2013 da coordenação de pós-graduação da PROPESQ (fls. 161 a 163), pedindo para incluir carta de aceite dos docentes, documentação comprobatória do credenciamento dos professores da EMPRAPA e a descrição sobre o oferecimento das disciplinas.</w:t>
      </w:r>
    </w:p>
    <w:p>
      <w:pPr>
        <w:pStyle w:val="style36"/>
        <w:numPr>
          <w:ilvl w:val="0"/>
          <w:numId w:val="3"/>
        </w:numPr>
        <w:spacing w:after="0" w:before="0" w:line="100" w:lineRule="atLeast"/>
        <w:contextualSpacing w:val="false"/>
        <w:jc w:val="both"/>
      </w:pPr>
      <w:r>
        <w:rPr>
          <w:rFonts w:ascii="Arial" w:cs="Arial" w:hAnsi="Arial"/>
        </w:rPr>
        <w:t xml:space="preserve"> </w:t>
      </w:r>
      <w:r>
        <w:rPr>
          <w:rFonts w:ascii="Arial" w:cs="Arial" w:hAnsi="Arial"/>
        </w:rPr>
        <w:t>Resposta da Coordenação do PGDRA às solicitações da PROPESQ (fls 164 a 191).</w:t>
      </w:r>
    </w:p>
    <w:p>
      <w:pPr>
        <w:pStyle w:val="style36"/>
        <w:numPr>
          <w:ilvl w:val="0"/>
          <w:numId w:val="3"/>
        </w:numPr>
        <w:spacing w:after="0" w:before="0" w:line="100" w:lineRule="atLeast"/>
        <w:contextualSpacing w:val="false"/>
        <w:jc w:val="both"/>
      </w:pPr>
      <w:r>
        <w:rPr>
          <w:rFonts w:ascii="Arial" w:cs="Arial" w:hAnsi="Arial"/>
        </w:rPr>
        <w:t>Despacho do titular da PROPESQ à SECONS, informando que o PGDRA cumpriu com as exigências do seu parecer 015/2013.</w:t>
      </w:r>
    </w:p>
    <w:p>
      <w:pPr>
        <w:pStyle w:val="style36"/>
        <w:numPr>
          <w:ilvl w:val="0"/>
          <w:numId w:val="3"/>
        </w:numPr>
        <w:spacing w:after="0" w:before="0" w:line="100" w:lineRule="atLeast"/>
        <w:contextualSpacing w:val="false"/>
        <w:jc w:val="both"/>
      </w:pPr>
      <w:r>
        <w:rPr>
          <w:rFonts w:ascii="Arial" w:cs="Arial" w:hAnsi="Arial"/>
        </w:rPr>
        <w:t>Despacho da presidente da CPG e inclusão de novas cartas de aceite ao processo (fls. 193 a 197)</w:t>
      </w:r>
    </w:p>
    <w:p>
      <w:pPr>
        <w:pStyle w:val="style36"/>
        <w:numPr>
          <w:ilvl w:val="0"/>
          <w:numId w:val="3"/>
        </w:numPr>
        <w:spacing w:after="0" w:before="0" w:line="100" w:lineRule="atLeast"/>
        <w:contextualSpacing w:val="false"/>
        <w:jc w:val="both"/>
      </w:pPr>
      <w:r>
        <w:rPr>
          <w:rFonts w:ascii="Arial" w:cs="Arial" w:hAnsi="Arial"/>
        </w:rPr>
        <w:t>Despacho da presidente da CPG para este parecerista (fls. 198).</w:t>
      </w:r>
    </w:p>
    <w:p>
      <w:pPr>
        <w:pStyle w:val="style36"/>
        <w:spacing w:after="0" w:before="0" w:line="100" w:lineRule="atLeast"/>
        <w:ind w:hanging="0" w:left="720" w:right="0"/>
        <w:contextualSpacing w:val="false"/>
        <w:jc w:val="both"/>
      </w:pPr>
      <w:r>
        <w:rPr/>
      </w:r>
    </w:p>
    <w:p>
      <w:pPr>
        <w:pStyle w:val="style36"/>
        <w:spacing w:after="0" w:before="0" w:line="100" w:lineRule="atLeast"/>
        <w:ind w:hanging="0" w:left="360" w:right="0"/>
        <w:contextualSpacing w:val="false"/>
        <w:jc w:val="both"/>
      </w:pPr>
      <w:r>
        <w:rPr>
          <w:rFonts w:ascii="Arial" w:cs="Arial" w:hAnsi="Arial"/>
        </w:rPr>
        <w:t xml:space="preserve"> </w:t>
      </w:r>
    </w:p>
    <w:p>
      <w:pPr>
        <w:pStyle w:val="style36"/>
        <w:spacing w:after="0" w:before="0" w:line="100" w:lineRule="atLeast"/>
        <w:ind w:hanging="0" w:left="0" w:right="0"/>
        <w:contextualSpacing w:val="false"/>
        <w:jc w:val="both"/>
      </w:pPr>
      <w:r>
        <w:rPr>
          <w:rFonts w:ascii="Arial" w:cs="Arial" w:hAnsi="Arial"/>
          <w:b/>
        </w:rPr>
        <w:t xml:space="preserve">II - DA ANÁLISE: </w:t>
      </w:r>
    </w:p>
    <w:p>
      <w:pPr>
        <w:pStyle w:val="style0"/>
        <w:jc w:val="both"/>
      </w:pPr>
      <w:r>
        <w:rPr/>
      </w:r>
    </w:p>
    <w:p>
      <w:pPr>
        <w:pStyle w:val="style0"/>
        <w:jc w:val="both"/>
      </w:pPr>
      <w:r>
        <w:rPr>
          <w:rFonts w:ascii="Arial" w:cs="Arial" w:hAnsi="Arial"/>
        </w:rPr>
        <w:t xml:space="preserve">Fundamentação Legal: O projeto está sustentado na autonomia da UNIR como universidade (Constituição Federal e Lei 9394/96), que tem na Resolução 200/CONSEA o marco regulador vigente para o oferecimento de cursos de pós-graduação. Destaca-se que a documentação apresentada atende as exigências dessa Resolução, inclusive conforme atesta a PROPESQ. </w:t>
      </w:r>
    </w:p>
    <w:p>
      <w:pPr>
        <w:pStyle w:val="style0"/>
        <w:jc w:val="both"/>
      </w:pPr>
      <w:r>
        <w:rPr/>
      </w:r>
    </w:p>
    <w:p>
      <w:pPr>
        <w:pStyle w:val="style38"/>
        <w:ind w:hanging="0" w:left="0" w:right="0"/>
      </w:pPr>
      <w:r>
        <w:rPr>
          <w:rFonts w:ascii="Arial" w:cs="Arial" w:hAnsi="Arial"/>
        </w:rPr>
        <w:t>Relevância e Mérito: Trata-se de um projeto relevante para esta IFES, que poderá grandes benefícios para Rondônia - e vizinhanças - em face das pesquisas a serem executadas e no atendimento às demandas de qualificação. Ressalta-se que o Programa foi recomendado pelo CTC da área em 21/11/2012. Portanto, teria até o dia 21/11/2013 para iniciar suas atividades, que veio a ocorrer, tendo 13 doutorandos aprovados, conforme consta no site do curso (</w:t>
      </w:r>
      <w:hyperlink r:id="rId2">
        <w:r>
          <w:rPr>
            <w:rStyle w:val="style21"/>
            <w:rStyle w:val="style21"/>
            <w:rFonts w:ascii="Arial" w:cs="Arial" w:hAnsi="Arial"/>
          </w:rPr>
          <w:t>http://www.pgdra.unir.br/menus_arquivos/1152_alunos_2013___doutorado.pdf</w:t>
        </w:r>
      </w:hyperlink>
      <w:r>
        <w:rPr>
          <w:rFonts w:ascii="Arial" w:cs="Arial" w:hAnsi="Arial"/>
        </w:rPr>
        <w:t>.). Em outras palavras, o Programa está em execução, apesar de no processo não esclarecer os motivos da demora de sua tramitação.</w:t>
      </w:r>
    </w:p>
    <w:p>
      <w:pPr>
        <w:pStyle w:val="style36"/>
        <w:spacing w:after="0" w:before="0" w:line="100" w:lineRule="atLeast"/>
        <w:ind w:hanging="0" w:left="0" w:right="0"/>
        <w:contextualSpacing w:val="false"/>
        <w:jc w:val="both"/>
      </w:pPr>
      <w:r>
        <w:rPr/>
      </w:r>
    </w:p>
    <w:p>
      <w:pPr>
        <w:pStyle w:val="style36"/>
        <w:spacing w:after="0" w:before="0" w:line="100" w:lineRule="atLeast"/>
        <w:ind w:hanging="0" w:left="0" w:right="0"/>
        <w:contextualSpacing w:val="false"/>
        <w:jc w:val="both"/>
      </w:pPr>
      <w:r>
        <w:rPr>
          <w:rFonts w:ascii="Arial" w:cs="Arial" w:hAnsi="Arial"/>
          <w:b/>
        </w:rPr>
        <w:t xml:space="preserve">III - DO PARECER: </w:t>
      </w:r>
    </w:p>
    <w:p>
      <w:pPr>
        <w:pStyle w:val="style36"/>
        <w:spacing w:after="0" w:before="0" w:line="100" w:lineRule="atLeast"/>
        <w:ind w:hanging="0" w:left="0" w:right="0"/>
        <w:contextualSpacing w:val="false"/>
        <w:jc w:val="both"/>
      </w:pPr>
      <w:r>
        <w:rPr/>
      </w:r>
    </w:p>
    <w:p>
      <w:pPr>
        <w:pStyle w:val="style36"/>
        <w:spacing w:after="0" w:before="0" w:line="100" w:lineRule="atLeast"/>
        <w:ind w:hanging="0" w:left="0" w:right="0"/>
        <w:contextualSpacing w:val="false"/>
        <w:jc w:val="both"/>
      </w:pPr>
      <w:r>
        <w:rPr>
          <w:rFonts w:ascii="Arial" w:cs="Arial" w:hAnsi="Arial"/>
        </w:rPr>
        <w:tab/>
        <w:t xml:space="preserve">Com base no exposto e considerando a relevância do projeto, bem como sua aprovação nos demais órgãos competentes, incluindo recomendação do CTC da área na CAPES, sou de parecer favorável pela aprovação da implantação do Doutorado em Desenvolvimento Regional e Meio Ambiente. </w:t>
      </w:r>
    </w:p>
    <w:p>
      <w:pPr>
        <w:pStyle w:val="style36"/>
        <w:spacing w:after="0" w:before="0" w:line="100" w:lineRule="atLeast"/>
        <w:ind w:hanging="0" w:left="0" w:right="0"/>
        <w:contextualSpacing w:val="false"/>
        <w:jc w:val="both"/>
      </w:pPr>
      <w:r>
        <w:rPr>
          <w:rFonts w:ascii="Arial" w:cs="Arial" w:hAnsi="Arial"/>
        </w:rPr>
        <w:tab/>
      </w:r>
    </w:p>
    <w:p>
      <w:pPr>
        <w:pStyle w:val="style36"/>
        <w:spacing w:after="0" w:before="0" w:line="100" w:lineRule="atLeast"/>
        <w:ind w:hanging="0" w:left="0" w:right="0"/>
        <w:contextualSpacing w:val="false"/>
        <w:jc w:val="both"/>
      </w:pPr>
      <w:r>
        <w:rPr/>
      </w:r>
    </w:p>
    <w:p>
      <w:pPr>
        <w:pStyle w:val="style36"/>
        <w:spacing w:after="0" w:before="0" w:line="100" w:lineRule="atLeast"/>
        <w:ind w:hanging="0" w:left="0" w:right="0"/>
        <w:contextualSpacing w:val="false"/>
        <w:jc w:val="center"/>
      </w:pPr>
      <w:r>
        <w:rPr>
          <w:rFonts w:ascii="Arial" w:cs="Arial" w:hAnsi="Arial"/>
        </w:rPr>
        <w:t>Prof. Dr. José Juliano Cedaro</w:t>
      </w:r>
    </w:p>
    <w:p>
      <w:pPr>
        <w:pStyle w:val="style36"/>
        <w:spacing w:after="0" w:before="0" w:line="100" w:lineRule="atLeast"/>
        <w:ind w:hanging="0" w:left="0" w:right="0"/>
        <w:contextualSpacing w:val="false"/>
        <w:jc w:val="center"/>
      </w:pPr>
      <w:r>
        <w:rPr>
          <w:rFonts w:ascii="Arial" w:cs="Arial" w:hAnsi="Arial"/>
        </w:rPr>
        <w:t>Conselheiro</w:t>
      </w:r>
    </w:p>
    <w:sectPr>
      <w:type w:val="nextPage"/>
      <w:pgSz w:h="16838" w:w="11906"/>
      <w:pgMar w:bottom="1418" w:footer="0" w:gutter="0" w:header="0" w:left="1701" w:right="1134" w:top="141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tabs/>
      <w:suppressAutoHyphens w:val="true"/>
      <w:kinsoku w:val="true"/>
      <w:overflowPunct w:val="true"/>
      <w:autoSpaceDE w:val="true"/>
      <w:spacing w:after="200" w:before="0" w:line="276" w:lineRule="auto"/>
      <w:contextualSpacing w:val="false"/>
    </w:pPr>
    <w:rPr>
      <w:rFonts w:ascii="Times New Roman" w:cs="Times New Roman" w:eastAsia="Times New Roman" w:hAnsi="Times New Roman"/>
      <w:color w:val="00000A"/>
      <w:sz w:val="24"/>
      <w:szCs w:val="24"/>
      <w:lang w:bidi="ar-SA" w:eastAsia="pt-BR" w:val="pt-BR"/>
    </w:rPr>
  </w:style>
  <w:style w:styleId="style1" w:type="paragraph">
    <w:name w:val="Título 1"/>
    <w:basedOn w:val="style26"/>
    <w:next w:val="style27"/>
    <w:pPr>
      <w:widowControl w:val="false"/>
      <w:numPr>
        <w:ilvl w:val="0"/>
        <w:numId w:val="1"/>
      </w:numPr>
      <w:suppressAutoHyphens w:val="true"/>
      <w:outlineLvl w:val="0"/>
    </w:pPr>
    <w:rPr>
      <w:rFonts w:ascii="Times New Roman" w:cs="Times New Roman" w:eastAsia="Times New Roman" w:hAnsi="Times New Roman"/>
      <w:b/>
      <w:bCs/>
      <w:color w:val="00000A"/>
      <w:sz w:val="20"/>
      <w:szCs w:val="20"/>
    </w:rPr>
  </w:style>
  <w:style w:styleId="style2" w:type="paragraph">
    <w:name w:val="Título 2"/>
    <w:basedOn w:val="style26"/>
    <w:next w:val="style27"/>
    <w:pPr>
      <w:widowControl w:val="false"/>
      <w:numPr>
        <w:ilvl w:val="1"/>
        <w:numId w:val="1"/>
      </w:numPr>
      <w:suppressAutoHyphens w:val="true"/>
      <w:outlineLvl w:val="1"/>
    </w:pPr>
    <w:rPr>
      <w:rFonts w:ascii="Times New Roman" w:cs="Times New Roman" w:eastAsia="Times New Roman" w:hAnsi="Times New Roman"/>
      <w:b/>
      <w:bCs/>
      <w:i/>
      <w:iCs/>
      <w:color w:val="00000A"/>
      <w:sz w:val="20"/>
      <w:szCs w:val="20"/>
    </w:rPr>
  </w:style>
  <w:style w:styleId="style3" w:type="paragraph">
    <w:name w:val="Título 3"/>
    <w:basedOn w:val="style0"/>
    <w:next w:val="style27"/>
    <w:pPr>
      <w:keepNext/>
      <w:numPr>
        <w:ilvl w:val="2"/>
        <w:numId w:val="1"/>
      </w:numPr>
      <w:spacing w:after="60" w:before="240"/>
      <w:contextualSpacing w:val="false"/>
      <w:outlineLvl w:val="2"/>
    </w:pPr>
    <w:rPr>
      <w:rFonts w:ascii="Cambria" w:hAnsi="Cambria"/>
      <w:b/>
      <w:bCs/>
      <w:sz w:val="26"/>
      <w:szCs w:val="26"/>
    </w:rPr>
  </w:style>
  <w:style w:styleId="style4" w:type="paragraph">
    <w:name w:val="Título 4"/>
    <w:basedOn w:val="style26"/>
    <w:next w:val="style27"/>
    <w:pPr>
      <w:widowControl w:val="false"/>
      <w:numPr>
        <w:ilvl w:val="3"/>
        <w:numId w:val="1"/>
      </w:numPr>
      <w:suppressAutoHyphens w:val="true"/>
      <w:outlineLvl w:val="3"/>
    </w:pPr>
    <w:rPr>
      <w:rFonts w:ascii="Times New Roman" w:cs="Times New Roman" w:eastAsia="Times New Roman" w:hAnsi="Times New Roman"/>
      <w:b/>
      <w:bCs/>
      <w:i/>
      <w:iCs/>
      <w:color w:val="00000A"/>
      <w:sz w:val="20"/>
      <w:szCs w:val="20"/>
    </w:rPr>
  </w:style>
  <w:style w:styleId="style7" w:type="paragraph">
    <w:name w:val="Título 7"/>
    <w:basedOn w:val="style0"/>
    <w:next w:val="style27"/>
    <w:pPr>
      <w:spacing w:after="60" w:before="240"/>
      <w:contextualSpacing w:val="false"/>
    </w:pPr>
    <w:rPr>
      <w:b/>
      <w:bCs/>
      <w:sz w:val="18"/>
      <w:szCs w:val="18"/>
    </w:rPr>
  </w:style>
  <w:style w:styleId="style8" w:type="paragraph">
    <w:name w:val="Título 8"/>
    <w:basedOn w:val="style0"/>
    <w:next w:val="style27"/>
    <w:pPr>
      <w:numPr>
        <w:ilvl w:val="7"/>
        <w:numId w:val="1"/>
      </w:numPr>
      <w:spacing w:after="60" w:before="240"/>
      <w:contextualSpacing w:val="false"/>
      <w:outlineLvl w:val="7"/>
    </w:pPr>
    <w:rPr>
      <w:b/>
      <w:bCs/>
      <w:i/>
      <w:iCs/>
      <w:sz w:val="18"/>
      <w:szCs w:val="18"/>
    </w:rPr>
  </w:style>
  <w:style w:styleId="style15" w:type="character">
    <w:name w:val="Default Paragraph Font"/>
    <w:next w:val="style15"/>
    <w:rPr/>
  </w:style>
  <w:style w:styleId="style16" w:type="character">
    <w:name w:val="page number"/>
    <w:basedOn w:val="style15"/>
    <w:next w:val="style16"/>
    <w:rPr/>
  </w:style>
  <w:style w:styleId="style17" w:type="character">
    <w:name w:val="Corpo de texto 2 Char"/>
    <w:basedOn w:val="style15"/>
    <w:next w:val="style17"/>
    <w:rPr>
      <w:sz w:val="24"/>
      <w:szCs w:val="24"/>
    </w:rPr>
  </w:style>
  <w:style w:styleId="style18" w:type="character">
    <w:name w:val="Título 3 Char"/>
    <w:basedOn w:val="style15"/>
    <w:next w:val="style18"/>
    <w:rPr>
      <w:rFonts w:ascii="Cambria" w:cs="Times New Roman" w:eastAsia="Times New Roman" w:hAnsi="Cambria"/>
      <w:b/>
      <w:bCs/>
      <w:sz w:val="26"/>
      <w:szCs w:val="26"/>
    </w:rPr>
  </w:style>
  <w:style w:styleId="style19" w:type="character">
    <w:name w:val="Recuo de corpo de texto 2 Char"/>
    <w:basedOn w:val="style15"/>
    <w:next w:val="style19"/>
    <w:rPr>
      <w:sz w:val="24"/>
      <w:szCs w:val="24"/>
    </w:rPr>
  </w:style>
  <w:style w:styleId="style20" w:type="character">
    <w:name w:val="apple-converted-space"/>
    <w:basedOn w:val="style15"/>
    <w:next w:val="style20"/>
    <w:rPr/>
  </w:style>
  <w:style w:styleId="style21" w:type="character">
    <w:name w:val="Link da Internet"/>
    <w:basedOn w:val="style15"/>
    <w:next w:val="style21"/>
    <w:rPr>
      <w:color w:val="0000FF"/>
      <w:u w:val="single"/>
      <w:lang w:bidi="pt-BR" w:eastAsia="pt-BR" w:val="pt-BR"/>
    </w:rPr>
  </w:style>
  <w:style w:styleId="style22" w:type="character">
    <w:name w:val="Ênfase forte"/>
    <w:basedOn w:val="style15"/>
    <w:next w:val="style22"/>
    <w:rPr>
      <w:b/>
      <w:bCs/>
    </w:rPr>
  </w:style>
  <w:style w:styleId="style23" w:type="character">
    <w:name w:val="ListLabel 1"/>
    <w:next w:val="style23"/>
    <w:rPr>
      <w:rFonts w:cs="Courier New"/>
    </w:rPr>
  </w:style>
  <w:style w:styleId="style24" w:type="character">
    <w:name w:val="ListLabel 2"/>
    <w:next w:val="style24"/>
    <w:rPr>
      <w:color w:val="000000"/>
    </w:rPr>
  </w:style>
  <w:style w:styleId="style25" w:type="character">
    <w:name w:val="Texto de balão Char"/>
    <w:basedOn w:val="style15"/>
    <w:next w:val="style25"/>
    <w:rPr>
      <w:rFonts w:ascii="Tahoma" w:cs="Tahoma" w:eastAsia="Times New Roman" w:hAnsi="Tahoma"/>
      <w:color w:val="000000"/>
      <w:sz w:val="16"/>
      <w:szCs w:val="16"/>
    </w:rPr>
  </w:style>
  <w:style w:styleId="style26" w:type="paragraph">
    <w:name w:val="Título"/>
    <w:basedOn w:val="style0"/>
    <w:next w:val="style27"/>
    <w:pPr>
      <w:keepNext/>
      <w:spacing w:after="120" w:before="240"/>
      <w:contextualSpacing w:val="false"/>
    </w:pPr>
    <w:rPr>
      <w:rFonts w:ascii="Arial" w:cs="Mangal" w:eastAsia="Microsoft YaHei" w:hAnsi="Arial"/>
      <w:sz w:val="28"/>
      <w:szCs w:val="28"/>
    </w:rPr>
  </w:style>
  <w:style w:styleId="style27" w:type="paragraph">
    <w:name w:val="Corpo de texto"/>
    <w:basedOn w:val="style0"/>
    <w:next w:val="style27"/>
    <w:pPr>
      <w:spacing w:after="120" w:before="0"/>
      <w:contextualSpacing w:val="false"/>
    </w:pPr>
    <w:rPr>
      <w:rFonts w:cs="Times New Roman"/>
      <w:color w:val="00000A"/>
    </w:rPr>
  </w:style>
  <w:style w:styleId="style28" w:type="paragraph">
    <w:name w:val="Lista"/>
    <w:basedOn w:val="style27"/>
    <w:next w:val="style28"/>
    <w:pPr/>
    <w:rPr>
      <w:rFonts w:cs="Mangal"/>
    </w:rPr>
  </w:style>
  <w:style w:styleId="style29" w:type="paragraph">
    <w:name w:val="Legenda"/>
    <w:basedOn w:val="style0"/>
    <w:next w:val="style29"/>
    <w:pPr>
      <w:suppressLineNumbers/>
      <w:spacing w:after="120" w:before="120"/>
      <w:contextualSpacing w:val="false"/>
    </w:pPr>
    <w:rPr>
      <w:rFonts w:cs="Mangal"/>
      <w:i/>
      <w:iCs/>
      <w:sz w:val="24"/>
      <w:szCs w:val="24"/>
    </w:rPr>
  </w:style>
  <w:style w:styleId="style30" w:type="paragraph">
    <w:name w:val="Índice"/>
    <w:basedOn w:val="style0"/>
    <w:next w:val="style30"/>
    <w:pPr>
      <w:suppressLineNumbers/>
    </w:pPr>
    <w:rPr>
      <w:rFonts w:cs="Mangal"/>
    </w:rPr>
  </w:style>
  <w:style w:styleId="style31" w:type="paragraph">
    <w:name w:val="Título principal"/>
    <w:basedOn w:val="style0"/>
    <w:next w:val="style32"/>
    <w:pPr>
      <w:keepNext/>
      <w:spacing w:after="120" w:before="240"/>
      <w:contextualSpacing w:val="false"/>
      <w:jc w:val="center"/>
    </w:pPr>
    <w:rPr>
      <w:rFonts w:ascii="Arial" w:cs="Mangal" w:eastAsia="Microsoft YaHei" w:hAnsi="Arial"/>
      <w:b/>
      <w:bCs/>
      <w:sz w:val="28"/>
      <w:szCs w:val="28"/>
    </w:rPr>
  </w:style>
  <w:style w:styleId="style32" w:type="paragraph">
    <w:name w:val="Subtítulo"/>
    <w:basedOn w:val="style26"/>
    <w:next w:val="style27"/>
    <w:pPr>
      <w:jc w:val="center"/>
    </w:pPr>
    <w:rPr>
      <w:i/>
      <w:iCs/>
      <w:sz w:val="28"/>
      <w:szCs w:val="28"/>
    </w:rPr>
  </w:style>
  <w:style w:styleId="style33" w:type="paragraph">
    <w:name w:val="caption"/>
    <w:basedOn w:val="style0"/>
    <w:next w:val="style33"/>
    <w:pPr>
      <w:suppressLineNumbers/>
      <w:spacing w:after="120" w:before="120"/>
      <w:contextualSpacing w:val="false"/>
    </w:pPr>
    <w:rPr>
      <w:rFonts w:cs="Mangal"/>
      <w:i/>
      <w:iCs/>
    </w:rPr>
  </w:style>
  <w:style w:styleId="style34" w:type="paragraph">
    <w:name w:val="Corpo de texto recuado"/>
    <w:basedOn w:val="style0"/>
    <w:next w:val="style34"/>
    <w:pPr>
      <w:spacing w:after="0" w:before="0"/>
      <w:ind w:hanging="0" w:left="283" w:right="0"/>
      <w:contextualSpacing w:val="false"/>
    </w:pPr>
    <w:rPr>
      <w:rFonts w:cs="Times New Roman"/>
      <w:color w:val="00000A"/>
    </w:rPr>
  </w:style>
  <w:style w:styleId="style35" w:type="paragraph">
    <w:name w:val="Cabeçalho"/>
    <w:basedOn w:val="style0"/>
    <w:next w:val="style35"/>
    <w:pPr>
      <w:suppressLineNumbers/>
      <w:tabs>
        <w:tab w:leader="none" w:pos="4252" w:val="center"/>
        <w:tab w:leader="none" w:pos="8504" w:val="right"/>
      </w:tabs>
    </w:pPr>
    <w:rPr/>
  </w:style>
  <w:style w:styleId="style36" w:type="paragraph">
    <w:name w:val="Body Text Indent 2"/>
    <w:basedOn w:val="style0"/>
    <w:next w:val="style36"/>
    <w:pPr>
      <w:spacing w:after="120" w:before="0" w:line="480" w:lineRule="auto"/>
      <w:ind w:hanging="0" w:left="283" w:right="0"/>
      <w:contextualSpacing w:val="false"/>
    </w:pPr>
    <w:rPr/>
  </w:style>
  <w:style w:styleId="style37" w:type="paragraph">
    <w:name w:val="Rodapé"/>
    <w:basedOn w:val="style0"/>
    <w:next w:val="style37"/>
    <w:pPr>
      <w:suppressLineNumbers/>
      <w:tabs>
        <w:tab w:leader="none" w:pos="4252" w:val="center"/>
        <w:tab w:leader="none" w:pos="8504" w:val="right"/>
      </w:tabs>
    </w:pPr>
    <w:rPr/>
  </w:style>
  <w:style w:styleId="style38" w:type="paragraph">
    <w:name w:val="Corpo de texto 21"/>
    <w:basedOn w:val="style0"/>
    <w:next w:val="style38"/>
    <w:pPr>
      <w:spacing w:after="0" w:before="0"/>
      <w:ind w:firstLine="705" w:left="0" w:right="0"/>
      <w:contextualSpacing w:val="false"/>
      <w:jc w:val="both"/>
      <w:textAlignment w:val="baseline"/>
    </w:pPr>
    <w:rPr>
      <w:sz w:val="20"/>
      <w:szCs w:val="20"/>
    </w:rPr>
  </w:style>
  <w:style w:styleId="style39" w:type="paragraph">
    <w:name w:val="Body Text 2"/>
    <w:basedOn w:val="style0"/>
    <w:next w:val="style39"/>
    <w:pPr>
      <w:spacing w:after="120" w:before="0" w:line="480" w:lineRule="auto"/>
      <w:contextualSpacing w:val="false"/>
    </w:pPr>
    <w:rPr/>
  </w:style>
  <w:style w:styleId="style40" w:type="paragraph">
    <w:name w:val="Normal (Web)"/>
    <w:basedOn w:val="style0"/>
    <w:next w:val="style40"/>
    <w:pPr>
      <w:spacing w:after="28" w:before="28"/>
      <w:contextualSpacing w:val="false"/>
    </w:pPr>
    <w:rPr/>
  </w:style>
  <w:style w:styleId="style41" w:type="paragraph">
    <w:name w:val="Conteúdo do quadro"/>
    <w:basedOn w:val="style27"/>
    <w:next w:val="style41"/>
    <w:pPr/>
    <w:rPr/>
  </w:style>
  <w:style w:styleId="style42" w:type="paragraph">
    <w:name w:val="Balloon Text"/>
    <w:basedOn w:val="style0"/>
    <w:next w:val="style42"/>
    <w:pPr>
      <w:spacing w:after="0" w:before="0" w:line="100" w:lineRule="atLeast"/>
      <w:contextualSpacing w:val="false"/>
    </w:pPr>
    <w:rPr>
      <w:sz w:val="16"/>
      <w:szCs w:val="16"/>
    </w:rPr>
  </w:style>
  <w:style w:styleId="style43" w:type="paragraph">
    <w:name w:val="Conteúdo da tabela"/>
    <w:basedOn w:val="style0"/>
    <w:next w:val="style4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gdra.unir.br/menus_arquivos/1152_alunos_2013___doutorado.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2013-11-25T13:45:00.00Z</dcterms:created>
  <dc:creator>.</dc:creator>
  <cp:lastPrinted>2014-01-29T15:34:56.27Z</cp:lastPrinted>
  <dcterms:modified xsi:type="dcterms:W3CDTF">2014-03-21T09:04:01.98Z</dcterms:modified>
  <cp:revision>6</cp:revision>
  <dc:title>NORMAS PARA CREDENCIAMENTO E RECREDENCIAMENTO DE DOCENTES NO</dc:title>
</cp:coreProperties>
</file>