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wmf" ContentType="image/x-wmf"/>
  <Override PartName="/word/media/image3.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tbl>
      <w:tblPr>
        <w:jc w:val="left"/>
        <w:tblInd w:type="dxa" w:w="-216"/>
        <w:tblBorders>
          <w:top w:color="000001" w:space="0" w:sz="4" w:val="single"/>
          <w:left w:color="000001" w:space="0" w:sz="4" w:val="single"/>
          <w:bottom w:color="000001" w:space="0" w:sz="4" w:val="single"/>
        </w:tblBorders>
      </w:tblPr>
      <w:tblGrid>
        <w:gridCol w:w="4274"/>
        <w:gridCol w:w="4814"/>
      </w:tblGrid>
      <w:tr>
        <w:trPr>
          <w:trHeight w:hRule="atLeast" w:val="1090"/>
          <w:cantSplit w:val="false"/>
        </w:trPr>
        <w:tc>
          <w:tcPr>
            <w:tcW w:type="dxa" w:w="427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"/>
              <w:numPr>
                <w:ilvl w:val="7"/>
                <w:numId w:val="2"/>
              </w:numPr>
              <w:tabs>
                <w:tab w:leader="none" w:pos="510" w:val="left"/>
                <w:tab w:leader="none" w:pos="878" w:val="left"/>
                <w:tab w:leader="none" w:pos="1048" w:val="left"/>
              </w:tabs>
              <w:spacing w:after="60" w:before="240" w:line="276" w:lineRule="auto"/>
              <w:ind w:hanging="0" w:left="170" w:right="51"/>
              <w:contextualSpacing w:val="false"/>
              <w:jc w:val="center"/>
            </w:pPr>
            <w:r>
              <w:rPr/>
              <w:drawing>
                <wp:anchor allowOverlap="1" behindDoc="0" distB="0" distL="0" distR="0" distT="0" layoutInCell="1" locked="0" relativeHeight="1" simplePos="0">
                  <wp:simplePos x="0" y="0"/>
                  <wp:positionH relativeFrom="character">
                    <wp:posOffset>180975</wp:posOffset>
                  </wp:positionH>
                  <wp:positionV relativeFrom="line">
                    <wp:posOffset>43815</wp:posOffset>
                  </wp:positionV>
                  <wp:extent cx="1798955" cy="615315"/>
                  <wp:effectExtent b="0" l="0" r="0" t="0"/>
                  <wp:wrapSquare wrapText="largest"/>
                  <wp:docPr descr="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955" cy="615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type="dxa" w:w="4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"/>
              <w:numPr>
                <w:ilvl w:val="2"/>
                <w:numId w:val="2"/>
              </w:numPr>
              <w:tabs>
                <w:tab w:leader="none" w:pos="0" w:val="left"/>
                <w:tab w:leader="none" w:pos="708" w:val="left"/>
              </w:tabs>
              <w:spacing w:after="60" w:before="240" w:line="276" w:lineRule="auto"/>
              <w:contextualSpacing w:val="false"/>
              <w:jc w:val="center"/>
            </w:pPr>
            <w:r>
              <w:rPr>
                <w:rFonts w:cs="Arial"/>
                <w:color w:val="333333"/>
                <w:sz w:val="24"/>
                <w:szCs w:val="24"/>
              </w:rPr>
              <w:t>Conselho Superior Acadêmico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  <w:bCs/>
                <w:color w:val="333333"/>
                <w:sz w:val="24"/>
                <w:szCs w:val="24"/>
              </w:rPr>
              <w:t>CONSEA</w:t>
            </w:r>
          </w:p>
        </w:tc>
      </w:tr>
      <w:tr>
        <w:trPr>
          <w:trHeight w:hRule="atLeast" w:val="357"/>
          <w:cantSplit w:val="true"/>
        </w:trPr>
        <w:tc>
          <w:tcPr>
            <w:tcW w:type="dxa" w:w="427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atLeast"/>
              <w:jc w:val="both"/>
            </w:pPr>
            <w:r>
              <w:rPr>
                <w:rFonts w:ascii="Arial" w:cs="Arial" w:hAnsi="Arial"/>
                <w:b/>
                <w:bCs/>
                <w:color w:val="4C4C4C"/>
              </w:rPr>
              <w:t>Processo</w:t>
            </w:r>
            <w:r>
              <w:rPr>
                <w:rFonts w:ascii="Arial" w:cs="Arial" w:hAnsi="Arial"/>
                <w:bCs/>
                <w:color w:val="4C4C4C"/>
              </w:rPr>
              <w:t>:</w:t>
            </w:r>
            <w:r>
              <w:rPr>
                <w:rFonts w:ascii="Arial" w:cs="Arial" w:hAnsi="Arial"/>
                <w:color w:val="4C4C4C"/>
                <w:lang w:bidi="bn-IN"/>
              </w:rPr>
              <w:t>23118.001716/2013-35</w:t>
            </w:r>
          </w:p>
        </w:tc>
        <w:tc>
          <w:tcPr>
            <w:tcW w:type="dxa" w:w="481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"/>
              <w:numPr>
                <w:ilvl w:val="0"/>
                <w:numId w:val="2"/>
              </w:numPr>
              <w:tabs>
                <w:tab w:leader="none" w:pos="0" w:val="left"/>
                <w:tab w:leader="none" w:pos="708" w:val="left"/>
              </w:tabs>
              <w:spacing w:after="0" w:before="0"/>
              <w:contextualSpacing w:val="false"/>
              <w:jc w:val="both"/>
            </w:pPr>
            <w:r>
              <w:rPr>
                <w:rFonts w:cs="Arial"/>
                <w:b w:val="false"/>
                <w:bCs w:val="false"/>
                <w:color w:val="333333"/>
                <w:sz w:val="24"/>
                <w:szCs w:val="24"/>
              </w:rPr>
              <w:t>Da Presidência dos Conselhos Superiores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0" w:val="left"/>
                <w:tab w:leader="none" w:pos="708" w:val="left"/>
              </w:tabs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0" w:val="left"/>
                <w:tab w:leader="none" w:pos="708" w:val="left"/>
              </w:tabs>
              <w:spacing w:after="20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bCs/>
                <w:color w:val="00000A"/>
                <w:sz w:val="21"/>
                <w:szCs w:val="21"/>
              </w:rPr>
              <w:t>HOMOLOGADO EM 10/09/2013</w:t>
            </w:r>
          </w:p>
          <w:p>
            <w:pPr>
              <w:pStyle w:val="style0"/>
              <w:tabs>
                <w:tab w:leader="none" w:pos="0" w:val="left"/>
                <w:tab w:leader="none" w:pos="708" w:val="left"/>
              </w:tabs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0" w:val="left"/>
                <w:tab w:leader="none" w:pos="708" w:val="left"/>
              </w:tabs>
              <w:spacing w:after="0" w:before="0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358"/>
          <w:cantSplit w:val="true"/>
        </w:trPr>
        <w:tc>
          <w:tcPr>
            <w:tcW w:type="dxa" w:w="427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atLeast"/>
              <w:jc w:val="both"/>
            </w:pPr>
            <w:r>
              <w:rPr>
                <w:rFonts w:ascii="Arial" w:cs="Arial" w:hAnsi="Arial"/>
                <w:b/>
                <w:color w:val="4C4C4C"/>
                <w:lang w:val="en-US"/>
              </w:rPr>
              <w:t>Parecer</w:t>
            </w:r>
            <w:r>
              <w:rPr>
                <w:rFonts w:ascii="Arial" w:cs="Arial" w:hAnsi="Arial"/>
                <w:color w:val="4C4C4C"/>
                <w:lang w:val="en-US"/>
              </w:rPr>
              <w:t>:  1428/CGR</w:t>
            </w:r>
          </w:p>
        </w:tc>
        <w:tc>
          <w:tcPr>
            <w:tcW w:type="dxa" w:w="481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/>
            </w:r>
          </w:p>
        </w:tc>
      </w:tr>
      <w:tr>
        <w:trPr>
          <w:trHeight w:hRule="atLeast" w:val="388"/>
          <w:cantSplit w:val="true"/>
        </w:trPr>
        <w:tc>
          <w:tcPr>
            <w:tcW w:type="dxa" w:w="427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center"/>
            </w:pPr>
            <w:r>
              <w:rPr/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  <w:color w:val="333333"/>
                <w:sz w:val="24"/>
                <w:szCs w:val="24"/>
              </w:rPr>
              <w:t>Câmara de Graduação - CGR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81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08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atLeast"/>
              <w:jc w:val="both"/>
            </w:pPr>
            <w:r>
              <w:rPr>
                <w:rFonts w:ascii="Arial" w:cs="Arial" w:hAnsi="Arial"/>
                <w:b/>
                <w:bCs/>
                <w:color w:val="4C4C4C"/>
              </w:rPr>
              <w:t>Assunto</w:t>
            </w:r>
            <w:r>
              <w:rPr>
                <w:rFonts w:ascii="Arial" w:cs="Arial" w:hAnsi="Arial"/>
                <w:bCs/>
                <w:color w:val="4C4C4C"/>
              </w:rPr>
              <w:t xml:space="preserve">: </w:t>
            </w:r>
            <w:r>
              <w:rPr>
                <w:rFonts w:ascii="Arial" w:cs="Arial" w:hAnsi="Arial"/>
                <w:color w:val="4C4C4C"/>
              </w:rPr>
              <w:t>Credenciamento de professor – Alexssandro Messias Ferraz</w:t>
            </w:r>
          </w:p>
        </w:tc>
      </w:tr>
      <w:tr>
        <w:trPr>
          <w:cantSplit w:val="false"/>
        </w:trPr>
        <w:tc>
          <w:tcPr>
            <w:tcW w:type="dxa" w:w="908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atLeast"/>
              <w:jc w:val="both"/>
            </w:pPr>
            <w:r>
              <w:rPr>
                <w:rFonts w:ascii="Arial" w:cs="Arial" w:hAnsi="Arial"/>
                <w:b/>
                <w:bCs/>
                <w:color w:val="4C4C4C"/>
              </w:rPr>
              <w:t xml:space="preserve">Interessado: </w:t>
            </w:r>
            <w:r>
              <w:rPr>
                <w:rFonts w:ascii="Arial" w:cs="Arial" w:hAnsi="Arial"/>
                <w:b w:val="false"/>
                <w:bCs w:val="false"/>
                <w:color w:val="4C4C4C"/>
              </w:rPr>
              <w:t>Gerson Balbueno Bicca</w:t>
            </w:r>
          </w:p>
        </w:tc>
      </w:tr>
      <w:tr>
        <w:trPr>
          <w:trHeight w:hRule="atLeast" w:val="70"/>
          <w:cantSplit w:val="false"/>
        </w:trPr>
        <w:tc>
          <w:tcPr>
            <w:tcW w:type="dxa" w:w="908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atLeast"/>
              <w:ind w:hanging="0" w:left="0" w:right="51"/>
              <w:jc w:val="both"/>
            </w:pPr>
            <w:r>
              <w:rPr>
                <w:rFonts w:ascii="Arial" w:cs="Arial" w:hAnsi="Arial"/>
                <w:b/>
                <w:bCs/>
                <w:color w:val="4C4C4C"/>
              </w:rPr>
              <w:t>Relator</w:t>
            </w:r>
            <w:r>
              <w:rPr>
                <w:rFonts w:ascii="Arial" w:cs="Arial" w:hAnsi="Arial"/>
                <w:color w:val="4C4C4C"/>
              </w:rPr>
              <w:t>: Cleiciane Aiane Noleto da Silva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bCs/>
          <w:color w:val="333333"/>
          <w:sz w:val="22"/>
          <w:szCs w:val="22"/>
        </w:rPr>
        <w:t>Parecer da Câmara:</w:t>
      </w:r>
    </w:p>
    <w:p>
      <w:pPr>
        <w:pStyle w:val="style0"/>
        <w:ind w:firstLine="600" w:left="0" w:right="0"/>
      </w:pPr>
      <w:r>
        <w:rPr/>
      </w:r>
    </w:p>
    <w:p>
      <w:pPr>
        <w:pStyle w:val="style0"/>
        <w:ind w:firstLine="600" w:left="0" w:right="0"/>
      </w:pPr>
      <w:r>
        <w:rPr/>
      </w:r>
    </w:p>
    <w:p>
      <w:pPr>
        <w:pStyle w:val="style0"/>
        <w:spacing w:line="360" w:lineRule="auto"/>
        <w:ind w:hanging="0" w:left="360" w:right="0"/>
        <w:jc w:val="both"/>
      </w:pPr>
      <w:r>
        <w:rPr>
          <w:rFonts w:ascii="Arial" w:cs="Arial" w:hAnsi="Arial"/>
          <w:color w:val="333333"/>
        </w:rPr>
        <w:tab/>
        <w:t>Na</w:t>
      </w:r>
      <w:r>
        <w:rPr>
          <w:rFonts w:ascii="Arial" w:cs="Arial" w:hAnsi="Arial"/>
          <w:color w:val="333333"/>
          <w:sz w:val="24"/>
          <w:szCs w:val="24"/>
        </w:rPr>
        <w:t xml:space="preserve"> 121ª sessão da Câmara de Graduação, em 05 de setembro de 2013,</w:t>
      </w:r>
      <w:bookmarkStart w:id="0" w:name="__DdeLink__16628_820235523"/>
      <w:r>
        <w:rPr>
          <w:rFonts w:ascii="Arial" w:cs="Arial" w:hAnsi="Arial"/>
          <w:color w:val="333333"/>
          <w:sz w:val="24"/>
          <w:szCs w:val="24"/>
        </w:rPr>
        <w:t xml:space="preserve"> a Câmara acompanha o parecer </w:t>
      </w:r>
      <w:r>
        <w:rPr>
          <w:rFonts w:ascii="Arial" w:cs="Arial" w:hAnsi="Arial"/>
          <w:color w:val="333333"/>
          <w:sz w:val="24"/>
          <w:szCs w:val="24"/>
          <w:lang w:eastAsia="en-US"/>
        </w:rPr>
        <w:t>1428/CGR cuja relatora</w:t>
      </w:r>
      <w:bookmarkEnd w:id="0"/>
      <w:r>
        <w:rPr>
          <w:rFonts w:ascii="Arial" w:cs="Arial" w:hAnsi="Arial"/>
          <w:color w:val="333333"/>
          <w:sz w:val="24"/>
          <w:szCs w:val="24"/>
          <w:lang w:eastAsia="en-US"/>
        </w:rPr>
        <w:t xml:space="preserve"> é favorável.</w:t>
      </w:r>
    </w:p>
    <w:p>
      <w:pPr>
        <w:pStyle w:val="style0"/>
        <w:ind w:hanging="0" w:left="0" w:right="-995"/>
      </w:pPr>
      <w:r>
        <w:rPr/>
      </w:r>
    </w:p>
    <w:p>
      <w:pPr>
        <w:pStyle w:val="style0"/>
        <w:ind w:hanging="0" w:left="0" w:right="-995"/>
      </w:pPr>
      <w:r>
        <w:rPr/>
      </w:r>
    </w:p>
    <w:p>
      <w:pPr>
        <w:pStyle w:val="style0"/>
        <w:ind w:hanging="0" w:left="0" w:right="-995"/>
      </w:pPr>
      <w:r>
        <w:rPr/>
      </w:r>
    </w:p>
    <w:p>
      <w:pPr>
        <w:pStyle w:val="style0"/>
        <w:ind w:hanging="0" w:left="0" w:right="-995"/>
      </w:pPr>
      <w:r>
        <w:rPr/>
      </w:r>
    </w:p>
    <w:p>
      <w:pPr>
        <w:pStyle w:val="style0"/>
        <w:tabs>
          <w:tab w:leader="none" w:pos="360" w:val="left"/>
          <w:tab w:leader="none" w:pos="708" w:val="left"/>
          <w:tab w:leader="none" w:pos="900" w:val="left"/>
        </w:tabs>
        <w:spacing w:after="28" w:before="28" w:line="200" w:lineRule="atLeast"/>
        <w:ind w:hanging="0" w:left="0" w:right="-384"/>
        <w:contextualSpacing w:val="false"/>
        <w:jc w:val="center"/>
      </w:pPr>
      <w:r>
        <w:rPr>
          <w:rFonts w:ascii="Arial" w:cs="Arial" w:hAnsi="Arial"/>
          <w:b w:val="false"/>
          <w:bCs w:val="false"/>
          <w:color w:val="4C4C4C"/>
          <w:sz w:val="24"/>
          <w:szCs w:val="24"/>
        </w:rPr>
        <w:t>Conselheiro Carlos Luiz ferreira da Silva</w:t>
      </w:r>
    </w:p>
    <w:p>
      <w:pPr>
        <w:pStyle w:val="style0"/>
        <w:tabs>
          <w:tab w:leader="none" w:pos="360" w:val="left"/>
          <w:tab w:leader="none" w:pos="708" w:val="left"/>
          <w:tab w:leader="none" w:pos="900" w:val="left"/>
        </w:tabs>
        <w:spacing w:after="28" w:before="28" w:line="200" w:lineRule="atLeast"/>
        <w:ind w:hanging="0" w:left="0" w:right="-384"/>
        <w:contextualSpacing w:val="false"/>
        <w:jc w:val="center"/>
      </w:pPr>
      <w:r>
        <w:rPr>
          <w:rFonts w:ascii="Arial" w:cs="Arial" w:hAnsi="Arial"/>
          <w:b w:val="false"/>
          <w:bCs w:val="false"/>
          <w:color w:val="4C4C4C"/>
          <w:sz w:val="24"/>
          <w:szCs w:val="24"/>
        </w:rPr>
        <w:t>Presidente</w:t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Ind w:type="dxa" w:w="-338"/>
        <w:tblBorders>
          <w:top w:color="000001" w:space="0" w:sz="4" w:val="single"/>
          <w:left w:color="000001" w:space="0" w:sz="4" w:val="single"/>
        </w:tblBorders>
      </w:tblPr>
      <w:tblGrid>
        <w:gridCol w:w="3515"/>
        <w:gridCol w:w="5618"/>
      </w:tblGrid>
      <w:tr>
        <w:trPr>
          <w:trHeight w:hRule="atLeast" w:val="524"/>
          <w:cantSplit w:val="false"/>
        </w:trPr>
        <w:tc>
          <w:tcPr>
            <w:tcW w:type="dxa" w:w="3515"/>
            <w:vMerge w:val="restart"/>
            <w:tcBorders>
              <w:top w:color="000001" w:space="0" w:sz="4" w:val="single"/>
              <w:lef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atLeast"/>
              <w:jc w:val="both"/>
            </w:pPr>
            <w:r>
              <w:rPr/>
              <w:drawing>
                <wp:anchor allowOverlap="1" behindDoc="0" distB="0" distL="0" distR="0" distT="0" layoutInCell="1" locked="0" relativeHeight="0" simplePos="0">
                  <wp:simplePos x="0" y="0"/>
                  <wp:positionH relativeFrom="character">
                    <wp:posOffset>249555</wp:posOffset>
                  </wp:positionH>
                  <wp:positionV relativeFrom="line">
                    <wp:posOffset>59055</wp:posOffset>
                  </wp:positionV>
                  <wp:extent cx="1798955" cy="615315"/>
                  <wp:effectExtent b="0" l="0" r="0" t="0"/>
                  <wp:wrapSquare wrapText="largest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955" cy="615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type="dxa" w:w="56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atLeast"/>
              <w:jc w:val="both"/>
            </w:pPr>
            <w:r>
              <w:rPr/>
            </w:r>
          </w:p>
          <w:p>
            <w:pPr>
              <w:pStyle w:val="style0"/>
              <w:spacing w:line="200" w:lineRule="atLeast"/>
              <w:jc w:val="both"/>
            </w:pPr>
            <w:r>
              <w:rPr>
                <w:rFonts w:ascii="Arial" w:cs="Arial" w:hAnsi="Arial"/>
                <w:b/>
                <w:bCs/>
                <w:color w:val="4C4C4C"/>
              </w:rPr>
              <w:t>Processo</w:t>
            </w:r>
            <w:r>
              <w:rPr>
                <w:rFonts w:ascii="Arial" w:cs="Arial" w:hAnsi="Arial"/>
                <w:bCs/>
                <w:color w:val="4C4C4C"/>
              </w:rPr>
              <w:t>:</w:t>
            </w:r>
            <w:r>
              <w:rPr>
                <w:rFonts w:ascii="Arial" w:cs="Arial" w:hAnsi="Arial"/>
                <w:color w:val="4C4C4C"/>
              </w:rPr>
              <w:t xml:space="preserve"> </w:t>
            </w:r>
            <w:r>
              <w:rPr>
                <w:rFonts w:ascii="Arial" w:cs="Arial" w:hAnsi="Arial"/>
                <w:color w:val="4C4C4C"/>
                <w:lang w:bidi="bn-IN"/>
              </w:rPr>
              <w:t>23118.001716/2013-35</w:t>
            </w:r>
          </w:p>
        </w:tc>
      </w:tr>
      <w:tr>
        <w:trPr>
          <w:trHeight w:hRule="atLeast" w:val="563"/>
          <w:cantSplit w:val="false"/>
        </w:trPr>
        <w:tc>
          <w:tcPr>
            <w:tcW w:type="dxa" w:w="3515"/>
            <w:vMerge w:val="continue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atLeast"/>
              <w:jc w:val="both"/>
            </w:pPr>
            <w:r>
              <w:rPr/>
            </w:r>
          </w:p>
        </w:tc>
        <w:tc>
          <w:tcPr>
            <w:tcW w:type="dxa" w:w="56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atLeast"/>
              <w:jc w:val="both"/>
            </w:pPr>
            <w:r>
              <w:rPr>
                <w:rFonts w:ascii="Arial" w:cs="Arial" w:hAnsi="Arial"/>
                <w:b/>
                <w:color w:val="4C4C4C"/>
                <w:lang w:val="en-US"/>
              </w:rPr>
              <w:t>Parecer</w:t>
            </w:r>
            <w:r>
              <w:rPr>
                <w:rFonts w:ascii="Arial" w:cs="Arial" w:hAnsi="Arial"/>
                <w:color w:val="4C4C4C"/>
                <w:lang w:val="en-US"/>
              </w:rPr>
              <w:t>:  1428/CGR</w:t>
            </w:r>
          </w:p>
        </w:tc>
      </w:tr>
      <w:tr>
        <w:trPr>
          <w:trHeight w:hRule="atLeast" w:val="294"/>
          <w:cantSplit w:val="false"/>
        </w:trPr>
        <w:tc>
          <w:tcPr>
            <w:tcW w:type="dxa" w:w="913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atLeast"/>
              <w:jc w:val="both"/>
            </w:pPr>
            <w:r>
              <w:rPr>
                <w:rFonts w:ascii="Arial" w:cs="Arial" w:hAnsi="Arial"/>
                <w:b/>
                <w:bCs/>
                <w:color w:val="4C4C4C"/>
              </w:rPr>
              <w:t>Assunto</w:t>
            </w:r>
            <w:r>
              <w:rPr>
                <w:rFonts w:ascii="Arial" w:cs="Arial" w:hAnsi="Arial"/>
                <w:bCs/>
                <w:color w:val="4C4C4C"/>
              </w:rPr>
              <w:t xml:space="preserve">: </w:t>
            </w:r>
            <w:r>
              <w:rPr>
                <w:rFonts w:ascii="Arial" w:cs="Arial" w:hAnsi="Arial"/>
                <w:color w:val="4C4C4C"/>
              </w:rPr>
              <w:t>Credenciamento de professor – Alexssandro Messias Ferraz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13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atLeast"/>
              <w:jc w:val="both"/>
            </w:pPr>
            <w:r>
              <w:rPr>
                <w:rFonts w:ascii="Arial" w:cs="Arial" w:hAnsi="Arial"/>
                <w:b/>
                <w:bCs/>
                <w:color w:val="4C4C4C"/>
              </w:rPr>
              <w:t xml:space="preserve">Interessado: </w:t>
            </w:r>
            <w:r>
              <w:rPr>
                <w:rFonts w:ascii="Arial" w:cs="Arial" w:hAnsi="Arial"/>
                <w:b w:val="false"/>
                <w:bCs w:val="false"/>
                <w:color w:val="4C4C4C"/>
              </w:rPr>
              <w:t>Gerson Balbueno Bicca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13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atLeast"/>
              <w:ind w:hanging="0" w:left="0" w:right="51"/>
              <w:jc w:val="both"/>
            </w:pPr>
            <w:r>
              <w:rPr>
                <w:rFonts w:ascii="Arial" w:cs="Arial" w:hAnsi="Arial"/>
                <w:b/>
                <w:bCs/>
                <w:color w:val="4C4C4C"/>
              </w:rPr>
              <w:t>Relator</w:t>
            </w:r>
            <w:r>
              <w:rPr>
                <w:rFonts w:ascii="Arial" w:cs="Arial" w:hAnsi="Arial"/>
                <w:color w:val="4C4C4C"/>
              </w:rPr>
              <w:t>: Cleiciane Aiane Noleto da Silva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133"/>
            <w:gridSpan w:val="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Arial" w:hAnsi="Arial"/>
                <w:b/>
                <w:bCs/>
              </w:rPr>
              <w:t>I – Relatório:</w:t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>
                <w:rFonts w:ascii="Arial" w:hAnsi="Arial"/>
              </w:rPr>
              <w:t>O referido processo trata do credenciamento de professor colaborador Alexssandro Messias Ferraz para ministrar as disciplinas de Tecnologia de carnes, Análise de Alimentos e Bioquímica no Departamento de Engenharia de Alimentos - DENGEA. Consta no processo:</w:t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>
                <w:rFonts w:ascii="Arial" w:hAnsi="Arial"/>
              </w:rPr>
              <w:t>1 – Memorando nº 34-2013 do DENGEA à Direção do Campus de Ariquemes solicitando abertura de processo para credenciamento de Alexssandro Messias Ferraz, página 01;</w:t>
            </w:r>
          </w:p>
          <w:p>
            <w:pPr>
              <w:pStyle w:val="style0"/>
              <w:jc w:val="both"/>
            </w:pPr>
            <w:r>
              <w:rPr>
                <w:rFonts w:ascii="Arial" w:hAnsi="Arial"/>
              </w:rPr>
              <w:t>2 – Requerimento de Alexssandro Messias Ferraz solicitando credenciamento como professor colaborador junto à UNIR para ministrar as disciplinas de Tecnologia de carnes, Análise de alimentos e Bioquímica no curso de Engenharia de Alimentos, página 02;</w:t>
            </w:r>
          </w:p>
          <w:p>
            <w:pPr>
              <w:pStyle w:val="style0"/>
              <w:jc w:val="both"/>
            </w:pPr>
            <w:r>
              <w:rPr>
                <w:rFonts w:ascii="Arial" w:hAnsi="Arial"/>
              </w:rPr>
              <w:t>3 – Cópia da Cédula de Identidade e do Cadastro de Pessoa Física de Alexssandro Messias Ferraz, página 03;</w:t>
            </w:r>
          </w:p>
          <w:p>
            <w:pPr>
              <w:pStyle w:val="style0"/>
              <w:jc w:val="both"/>
            </w:pPr>
            <w:r>
              <w:rPr>
                <w:rFonts w:ascii="Arial" w:hAnsi="Arial"/>
              </w:rPr>
              <w:t>4 – Cópia de comprovante de residência de  Alexssandro Messias Ferraz, página 04;</w:t>
            </w:r>
          </w:p>
          <w:p>
            <w:pPr>
              <w:pStyle w:val="style0"/>
              <w:jc w:val="both"/>
            </w:pPr>
            <w:r>
              <w:rPr>
                <w:rFonts w:ascii="Arial" w:hAnsi="Arial"/>
              </w:rPr>
              <w:t xml:space="preserve">5 – </w:t>
            </w:r>
            <w:r>
              <w:rPr>
                <w:rFonts w:ascii="Arial" w:hAnsi="Arial"/>
                <w:i/>
                <w:iCs/>
              </w:rPr>
              <w:t>Curriculum lattes</w:t>
            </w:r>
            <w:r>
              <w:rPr>
                <w:rFonts w:ascii="Arial" w:hAnsi="Arial"/>
              </w:rPr>
              <w:t xml:space="preserve"> de  Alexssandro Messias Ferraz, páginas 05 à 11;</w:t>
            </w:r>
          </w:p>
          <w:p>
            <w:pPr>
              <w:pStyle w:val="style0"/>
              <w:jc w:val="both"/>
            </w:pPr>
            <w:r>
              <w:rPr>
                <w:rFonts w:ascii="Arial" w:hAnsi="Arial"/>
              </w:rPr>
              <w:t>6 – Cópia do certificado de Pós-graduação Lato sensu em Docência no Ensino Superior de Alexssandro Messias Ferraz, emitido pelo Instituto Cuiabano de Educação, página 12 (frente e verso);</w:t>
            </w:r>
          </w:p>
          <w:p>
            <w:pPr>
              <w:pStyle w:val="style0"/>
              <w:jc w:val="both"/>
            </w:pPr>
            <w:r>
              <w:rPr>
                <w:rFonts w:ascii="Arial" w:hAnsi="Arial"/>
              </w:rPr>
              <w:t>7 – Cópia do diploma de conclusão de curso superior de tecnologia, sob o título de Tecnólogo em Alimentos de  Alexssandro Messias Ferraz, emitido pelo Instituto Federal de Educação, Ciência e Tecnologia de Mato Grosso, página 13 (frente e verso);</w:t>
            </w:r>
          </w:p>
          <w:p>
            <w:pPr>
              <w:pStyle w:val="style0"/>
              <w:jc w:val="both"/>
            </w:pPr>
            <w:r>
              <w:rPr>
                <w:rFonts w:ascii="Arial" w:hAnsi="Arial"/>
              </w:rPr>
              <w:t>8 – Plano anual de atividade docente de  Alexssandro Messias Ferraz para as disciplinas de Bioquímica, Análise de alimentos e Ciência e tecnologia de carnes, ovos e peixes, página 14;</w:t>
            </w:r>
          </w:p>
          <w:p>
            <w:pPr>
              <w:pStyle w:val="style0"/>
              <w:jc w:val="both"/>
            </w:pPr>
            <w:r>
              <w:rPr>
                <w:rFonts w:ascii="Arial" w:hAnsi="Arial"/>
              </w:rPr>
              <w:t>9 – Termo de adesão de prestação de serviço voluntário de  Alexssandro Messias Ferraz, páginas 15 e 16;</w:t>
            </w:r>
          </w:p>
          <w:p>
            <w:pPr>
              <w:pStyle w:val="style0"/>
              <w:jc w:val="both"/>
            </w:pPr>
            <w:r>
              <w:rPr>
                <w:rFonts w:ascii="Arial" w:hAnsi="Arial"/>
              </w:rPr>
              <w:t>10 – Roteiro para formalização de processo de credenciamento de professores colaboradores na graduação, página 17;</w:t>
            </w:r>
          </w:p>
          <w:p>
            <w:pPr>
              <w:pStyle w:val="style0"/>
              <w:jc w:val="both"/>
            </w:pPr>
            <w:r>
              <w:rPr>
                <w:rFonts w:ascii="Arial" w:hAnsi="Arial"/>
              </w:rPr>
              <w:t>11 – Declaração de Tânia Maria Alberte se declarando co-responsável por  Alexssandro Messias Ferraz, página 18;</w:t>
            </w:r>
          </w:p>
          <w:p>
            <w:pPr>
              <w:pStyle w:val="style0"/>
              <w:jc w:val="both"/>
            </w:pPr>
            <w:r>
              <w:rPr>
                <w:rFonts w:ascii="Arial" w:hAnsi="Arial"/>
              </w:rPr>
              <w:t>12 – Declaração do DENGEA certificando a lotação de 3 professores efetivos no departamento, página 19;</w:t>
            </w:r>
          </w:p>
          <w:p>
            <w:pPr>
              <w:pStyle w:val="style0"/>
              <w:jc w:val="both"/>
            </w:pPr>
            <w:r>
              <w:rPr>
                <w:rFonts w:ascii="Arial" w:hAnsi="Arial"/>
              </w:rPr>
              <w:t>13 – Ata da reunião do Conselho do Departamento de Engenharia de Alimentos aprovando o credenciamento de  Alexssandro Messias Ferraz, páginas 20 e 21;</w:t>
            </w:r>
          </w:p>
          <w:p>
            <w:pPr>
              <w:pStyle w:val="style0"/>
              <w:jc w:val="both"/>
            </w:pPr>
            <w:r>
              <w:rPr>
                <w:rFonts w:ascii="Arial" w:hAnsi="Arial"/>
              </w:rPr>
              <w:t>14 – Despacho do DENGEA encaminhando o processo para a Direção do Campus de Ariquemes para providências, página 22;</w:t>
            </w:r>
          </w:p>
          <w:p>
            <w:pPr>
              <w:pStyle w:val="style0"/>
              <w:jc w:val="both"/>
            </w:pPr>
            <w:r>
              <w:rPr>
                <w:rFonts w:ascii="Arial" w:hAnsi="Arial"/>
              </w:rPr>
              <w:t>15 – Memorando nº 38-2013 do DENGEA à Direção do Campus de Ariquemes solicitando inclusão de documento ao processo, página 23;</w:t>
            </w:r>
          </w:p>
          <w:p>
            <w:pPr>
              <w:pStyle w:val="style0"/>
              <w:jc w:val="both"/>
            </w:pPr>
            <w:r>
              <w:rPr>
                <w:rFonts w:ascii="Arial" w:hAnsi="Arial"/>
              </w:rPr>
              <w:t>16 – Declaração de  atuação de Alexssandro Messias Ferraz como professor do Ensino Básico Técnico e Tecnológico no Instituto Federal de Educação, Ciência e Tecnologia de Rondônia, página 24;</w:t>
            </w:r>
          </w:p>
          <w:p>
            <w:pPr>
              <w:pStyle w:val="style0"/>
              <w:jc w:val="both"/>
            </w:pPr>
            <w:r>
              <w:rPr>
                <w:rFonts w:ascii="Arial" w:hAnsi="Arial"/>
              </w:rPr>
              <w:t>17 – Encaminhamento do processo à PROGRAD com o deferimento via ad referendum, pelo diretor em exercício do Campus de Ariquemes prof. Dr. Gerson Flôres Nascimento, do credenciamento de  Alexssandro Messias Ferraz, página 25;</w:t>
            </w:r>
          </w:p>
          <w:p>
            <w:pPr>
              <w:pStyle w:val="style0"/>
              <w:jc w:val="both"/>
            </w:pPr>
            <w:r>
              <w:rPr>
                <w:rFonts w:ascii="Arial" w:hAnsi="Arial"/>
              </w:rPr>
              <w:t>18 – Roteiro para análise de processo para credenciamento de professores colaboradores verificando a presença de toda a documentação obrigatória para o credenciamento, página 26;</w:t>
            </w:r>
          </w:p>
          <w:p>
            <w:pPr>
              <w:pStyle w:val="style0"/>
              <w:jc w:val="both"/>
            </w:pPr>
            <w:r>
              <w:rPr>
                <w:rFonts w:ascii="Arial" w:hAnsi="Arial"/>
              </w:rPr>
              <w:t>19 – Despacho 465 da PROGRAD encaminhando o processo ao CONSEA para parecer, página 27;</w:t>
            </w:r>
          </w:p>
          <w:p>
            <w:pPr>
              <w:pStyle w:val="style0"/>
              <w:jc w:val="both"/>
            </w:pPr>
            <w:r>
              <w:rPr>
                <w:rFonts w:ascii="Arial" w:hAnsi="Arial"/>
              </w:rPr>
              <w:t>20</w:t>
            </w:r>
            <w:bookmarkStart w:id="1" w:name="__DdeLink__125_1785591605"/>
            <w:r>
              <w:rPr>
                <w:rFonts w:ascii="Arial" w:hAnsi="Arial"/>
              </w:rPr>
              <w:t xml:space="preserve"> – Despacho da Secons encaminhando o processo ao presidente da Câmara de Graduação – CGR para instrução, página </w:t>
            </w:r>
            <w:bookmarkEnd w:id="1"/>
            <w:r>
              <w:rPr>
                <w:rFonts w:ascii="Arial" w:hAnsi="Arial"/>
              </w:rPr>
              <w:t>28;</w:t>
            </w:r>
          </w:p>
          <w:p>
            <w:pPr>
              <w:pStyle w:val="style0"/>
              <w:jc w:val="both"/>
            </w:pPr>
            <w:r>
              <w:rPr>
                <w:rFonts w:ascii="Arial" w:hAnsi="Arial"/>
              </w:rPr>
              <w:t>21 – Solicitação pela Secons da tramitação via SINGU do processo para a CGR, página 29;</w:t>
            </w:r>
          </w:p>
          <w:p>
            <w:pPr>
              <w:pStyle w:val="style0"/>
              <w:jc w:val="both"/>
            </w:pPr>
            <w:r>
              <w:rPr>
                <w:rFonts w:ascii="Arial" w:hAnsi="Arial"/>
              </w:rPr>
              <w:t>22 – Despacho 490 da PROGRAD para a Secons encaminhando os autos devidamente tramitados via SINGU, página 30;</w:t>
            </w:r>
          </w:p>
          <w:p>
            <w:pPr>
              <w:pStyle w:val="style0"/>
              <w:jc w:val="both"/>
            </w:pPr>
            <w:r>
              <w:rPr>
                <w:rFonts w:ascii="Arial" w:hAnsi="Arial"/>
              </w:rPr>
              <w:t>23 – Despacho da Secons encaminhando o processo ao presidente da Câmara de Graduação – CGR para instrução, com encaminhamento do processo à conselheira Cleiciane Noleto pelo presidente da CGR, página 31 (frente e verso).</w:t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>
                <w:rFonts w:ascii="Arial" w:hAnsi="Arial"/>
                <w:b/>
                <w:bCs/>
              </w:rPr>
              <w:t>II – Análise</w:t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>
                <w:rFonts w:ascii="Arial" w:hAnsi="Arial"/>
              </w:rPr>
              <w:t>O processo foi iniciado no Departamento de Engenharia de Alimentos - DENGEA, com o memorando à Direção do Campus de Ariquemes solicitando credenciamento de professor colaborador para as disciplinas de Tecnologia de Carnes, Análise de Alimentos e Bioquímica no curso de Engenharia de Alimentos. O processo com o pedido foi aprovado em reunião do departamento e encaminhado pelo Diretor em exercício do Campus de Ariquemes à PROGRAD. Assim a  PROGRAD verificou e encaminhou os autos à SECONS, que o encaminhou ao presidente da Câmara de Graduação – CGR.</w:t>
            </w:r>
          </w:p>
          <w:p>
            <w:pPr>
              <w:pStyle w:val="style0"/>
              <w:jc w:val="both"/>
            </w:pPr>
            <w:r>
              <w:rPr>
                <w:rFonts w:ascii="Arial" w:hAnsi="Arial"/>
              </w:rPr>
              <w:t>O processo seguiu os trâmites regimentais necessários e a solicitação está de acordo com a Resolução 264/CONSEA, de 2011, que estabelece critérios e normas para credenciamento de professores para prestação de serviço voluntário nos cursos da UNIR.</w:t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>
                <w:rFonts w:ascii="Arial" w:hAnsi="Arial"/>
                <w:b/>
                <w:bCs/>
              </w:rPr>
              <w:t>III – Parecer</w:t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>
                <w:rFonts w:ascii="Arial" w:hAnsi="Arial"/>
              </w:rPr>
              <w:t>Diante do exposto, sou de parecer favorável à aprovação do credenciamento de Alexssandro Messias Ferraz  para ministrar as disciplinas de Tecnologia de Carnes, Análise de Alimentos e Bioquímica no curso de Engenharia de Alimentos.</w:t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right"/>
            </w:pPr>
            <w:r>
              <w:rPr/>
            </w:r>
          </w:p>
          <w:p>
            <w:pPr>
              <w:pStyle w:val="style0"/>
              <w:jc w:val="right"/>
            </w:pPr>
            <w:r>
              <w:rPr>
                <w:rFonts w:ascii="Arial" w:hAnsi="Arial"/>
              </w:rPr>
              <w:t>Porto Velho, 07 de agosto de 2013.</w:t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Arial" w:hAnsi="Arial"/>
              </w:rPr>
              <w:t>Cleiciane Aiane Noleto da Silva</w:t>
            </w:r>
          </w:p>
          <w:p>
            <w:pPr>
              <w:pStyle w:val="style0"/>
              <w:spacing w:line="200" w:lineRule="atLeast"/>
              <w:ind w:hanging="0" w:left="0" w:right="51"/>
              <w:jc w:val="center"/>
            </w:pPr>
            <w:r>
              <w:rPr>
                <w:rFonts w:ascii="Arial" w:hAnsi="Arial"/>
              </w:rPr>
              <w:t>Relatora CGR/CONSEA</w:t>
            </w:r>
          </w:p>
        </w:tc>
      </w:tr>
    </w:tbl>
    <w:p>
      <w:pPr>
        <w:pStyle w:val="style0"/>
        <w:jc w:val="both"/>
      </w:pPr>
      <w:r>
        <w:rPr/>
      </w:r>
    </w:p>
    <w:sectPr>
      <w:type w:val="nextPage"/>
      <w:pgSz w:h="16838" w:w="11906"/>
      <w:pgMar w:bottom="1417" w:footer="0" w:gutter="0" w:header="0" w:left="1105" w:right="1692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</w:setting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false"/>
      <w:tabs>
        <w:tab w:leader="none" w:pos="708" w:val="left"/>
      </w:tabs>
      <w:suppressAutoHyphens w:val="true"/>
      <w:spacing w:line="100" w:lineRule="atLeast"/>
    </w:pPr>
    <w:rPr>
      <w:rFonts w:ascii="Times New Roman" w:cs="Mangal" w:eastAsia="SimSun" w:hAnsi="Times New Roman"/>
      <w:color w:val="00000A"/>
      <w:sz w:val="24"/>
      <w:szCs w:val="24"/>
      <w:lang w:bidi="hi-IN" w:eastAsia="zh-CN" w:val="pt-BR"/>
    </w:rPr>
  </w:style>
  <w:style w:styleId="style1" w:type="paragraph">
    <w:name w:val="Título 1"/>
    <w:basedOn w:val="style0"/>
    <w:next w:val="style22"/>
    <w:pPr>
      <w:keepNext/>
      <w:widowControl/>
      <w:numPr>
        <w:ilvl w:val="0"/>
        <w:numId w:val="1"/>
      </w:numPr>
      <w:spacing w:after="60" w:before="240"/>
      <w:contextualSpacing w:val="false"/>
      <w:outlineLvl w:val="0"/>
    </w:pPr>
    <w:rPr>
      <w:rFonts w:ascii="Arial" w:cs="Times New Roman" w:eastAsia="Times New Roman" w:hAnsi="Arial"/>
      <w:b/>
      <w:bCs/>
      <w:sz w:val="32"/>
      <w:szCs w:val="32"/>
      <w:lang w:bidi="ar-SA"/>
    </w:rPr>
  </w:style>
  <w:style w:styleId="style3" w:type="paragraph">
    <w:name w:val="Título 3"/>
    <w:basedOn w:val="style0"/>
    <w:next w:val="style22"/>
    <w:pPr>
      <w:keepNext/>
      <w:numPr>
        <w:ilvl w:val="2"/>
        <w:numId w:val="1"/>
      </w:numPr>
      <w:spacing w:after="60" w:before="240"/>
      <w:contextualSpacing w:val="false"/>
      <w:outlineLvl w:val="2"/>
    </w:pPr>
    <w:rPr>
      <w:rFonts w:ascii="Arial" w:cs="Arial" w:hAnsi="Arial"/>
      <w:b/>
      <w:bCs/>
      <w:sz w:val="26"/>
      <w:szCs w:val="26"/>
    </w:rPr>
  </w:style>
  <w:style w:styleId="style8" w:type="paragraph">
    <w:name w:val="Título 8"/>
    <w:basedOn w:val="style0"/>
    <w:next w:val="style22"/>
    <w:pPr>
      <w:keepNext/>
      <w:numPr>
        <w:ilvl w:val="7"/>
        <w:numId w:val="1"/>
      </w:numPr>
      <w:ind w:hanging="0" w:left="170" w:right="51"/>
      <w:jc w:val="both"/>
      <w:outlineLvl w:val="7"/>
    </w:pPr>
    <w:rPr>
      <w:rFonts w:ascii="Tahoma" w:cs="Tahoma" w:hAnsi="Tahoma"/>
      <w:b/>
      <w:bCs/>
      <w:color w:val="000000"/>
      <w:sz w:val="18"/>
      <w:szCs w:val="18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>
      <w:rFonts w:ascii="Cambria" w:cs="" w:hAnsi="Cambria"/>
      <w:b/>
      <w:bCs/>
      <w:sz w:val="32"/>
      <w:szCs w:val="32"/>
    </w:rPr>
  </w:style>
  <w:style w:styleId="style17" w:type="character">
    <w:name w:val="Heading 3 Char"/>
    <w:basedOn w:val="style15"/>
    <w:next w:val="style17"/>
    <w:rPr>
      <w:rFonts w:ascii="Cambria" w:cs="" w:hAnsi="Cambria"/>
      <w:b/>
      <w:bCs/>
      <w:sz w:val="26"/>
      <w:szCs w:val="26"/>
    </w:rPr>
  </w:style>
  <w:style w:styleId="style18" w:type="character">
    <w:name w:val="Title Char"/>
    <w:basedOn w:val="style15"/>
    <w:next w:val="style18"/>
    <w:rPr>
      <w:rFonts w:ascii="Cambria" w:cs="" w:hAnsi="Cambria"/>
      <w:b/>
      <w:bCs/>
      <w:sz w:val="32"/>
      <w:szCs w:val="32"/>
    </w:rPr>
  </w:style>
  <w:style w:styleId="style19" w:type="character">
    <w:name w:val="Body Text Char"/>
    <w:basedOn w:val="style15"/>
    <w:next w:val="style19"/>
    <w:rPr/>
  </w:style>
  <w:style w:styleId="style20" w:type="character">
    <w:name w:val="ListLabel 1"/>
    <w:next w:val="style20"/>
    <w:rPr>
      <w:rFonts w:cs="Times New Roman"/>
    </w:rPr>
  </w:style>
  <w:style w:styleId="style21" w:type="paragraph">
    <w:name w:val="Título"/>
    <w:basedOn w:val="style0"/>
    <w:next w:val="style22"/>
    <w:pPr>
      <w:keepNext/>
      <w:spacing w:after="120" w:before="240"/>
      <w:contextualSpacing w:val="false"/>
    </w:pPr>
    <w:rPr>
      <w:rFonts w:ascii="Liberation Sans" w:cs="Lohit Hindi" w:eastAsia="WenQuanYi Micro Hei" w:hAnsi="Liberation Sans"/>
      <w:sz w:val="28"/>
      <w:szCs w:val="28"/>
    </w:rPr>
  </w:style>
  <w:style w:styleId="style22" w:type="paragraph">
    <w:name w:val="Corpo de texto"/>
    <w:basedOn w:val="style0"/>
    <w:next w:val="style22"/>
    <w:pPr>
      <w:spacing w:after="120" w:before="0"/>
      <w:contextualSpacing w:val="false"/>
    </w:pPr>
    <w:rPr/>
  </w:style>
  <w:style w:styleId="style23" w:type="paragraph">
    <w:name w:val="Lista"/>
    <w:basedOn w:val="style22"/>
    <w:next w:val="style23"/>
    <w:pPr/>
    <w:rPr>
      <w:rFonts w:cs="Lohit Hindi"/>
    </w:rPr>
  </w:style>
  <w:style w:styleId="style24" w:type="paragraph">
    <w:name w:val="Legenda"/>
    <w:basedOn w:val="style0"/>
    <w:next w:val="style24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5" w:type="paragraph">
    <w:name w:val="Índice"/>
    <w:basedOn w:val="style0"/>
    <w:next w:val="style25"/>
    <w:pPr>
      <w:suppressLineNumbers/>
    </w:pPr>
    <w:rPr>
      <w:rFonts w:cs="Lohit Hindi"/>
    </w:rPr>
  </w:style>
  <w:style w:styleId="style26" w:type="paragraph">
    <w:name w:val="Título principal"/>
    <w:basedOn w:val="style0"/>
    <w:next w:val="style27"/>
    <w:pPr>
      <w:keepNext/>
      <w:spacing w:after="120" w:before="240"/>
      <w:contextualSpacing w:val="false"/>
      <w:jc w:val="center"/>
    </w:pPr>
    <w:rPr>
      <w:rFonts w:ascii="Arial" w:eastAsia="Times New Roman" w:hAnsi="Arial"/>
      <w:b/>
      <w:bCs/>
      <w:sz w:val="28"/>
      <w:szCs w:val="28"/>
    </w:rPr>
  </w:style>
  <w:style w:styleId="style27" w:type="paragraph">
    <w:name w:val="Subtítulo"/>
    <w:basedOn w:val="style21"/>
    <w:next w:val="style22"/>
    <w:pPr>
      <w:jc w:val="center"/>
    </w:pPr>
    <w:rPr>
      <w:i/>
      <w:iCs/>
      <w:sz w:val="28"/>
      <w:szCs w:val="28"/>
    </w:rPr>
  </w:style>
  <w:style w:styleId="style28" w:type="paragraph">
    <w:name w:val="caption"/>
    <w:basedOn w:val="style0"/>
    <w:next w:val="style28"/>
    <w:pPr>
      <w:suppressLineNumbers/>
      <w:spacing w:after="120" w:before="120"/>
      <w:contextualSpacing w:val="false"/>
    </w:pPr>
    <w:rPr>
      <w:i/>
      <w:iCs/>
    </w:rPr>
  </w:style>
  <w:style w:styleId="style29" w:type="paragraph">
    <w:name w:val="WW-Padrão"/>
    <w:next w:val="style29"/>
    <w:pPr>
      <w:widowControl/>
      <w:tabs>
        <w:tab w:leader="none" w:pos="708" w:val="left"/>
      </w:tabs>
      <w:suppressAutoHyphens w:val="true"/>
      <w:spacing w:after="200" w:before="0" w:line="276" w:lineRule="auto"/>
      <w:contextualSpacing w:val="false"/>
    </w:pPr>
    <w:rPr>
      <w:rFonts w:ascii="Calibri" w:cs="Calibri" w:eastAsia="Times New Roman" w:hAnsi="Calibri"/>
      <w:color w:val="000000"/>
      <w:sz w:val="22"/>
      <w:szCs w:val="22"/>
      <w:lang w:bidi="ar-SA" w:eastAsia="zh-CN" w:val="pt-BR"/>
    </w:rPr>
  </w:style>
  <w:style w:styleId="style30" w:type="paragraph">
    <w:name w:val="Conteúdo da tabela"/>
    <w:basedOn w:val="style0"/>
    <w:next w:val="style30"/>
    <w:pPr>
      <w:suppressLineNumbers/>
    </w:pPr>
    <w:rPr/>
  </w:style>
  <w:style w:styleId="style31" w:type="paragraph">
    <w:name w:val="Título de tabela"/>
    <w:basedOn w:val="style30"/>
    <w:next w:val="style3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emf"/><Relationship Id="rId3" Type="http://schemas.openxmlformats.org/officeDocument/2006/relationships/image" Target="media/image4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Application>LibreOffice/3.6$Windows_x86 LibreOffice_project/5b93205-6e6b3fc-7830f6d-c08ad66-1d9bf4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2013-06-07T13:21:00.00Z</dcterms:created>
  <dc:creator>Usuario</dc:creator>
  <cp:lastModifiedBy>Secons</cp:lastModifiedBy>
  <cp:lastPrinted>2013-09-06T11:26:41.10Z</cp:lastPrinted>
  <dcterms:modified xsi:type="dcterms:W3CDTF">2013-07-01T15:12:00.00Z</dcterms:modified>
  <cp:revision>31</cp:revision>
</cp:coreProperties>
</file>