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4009"/>
        <w:gridCol w:w="5207"/>
      </w:tblGrid>
      <w:tr>
        <w:trPr>
          <w:trHeight w:hRule="atLeast" w:val="962"/>
          <w:cantSplit w:val="false"/>
        </w:trPr>
        <w:tc>
          <w:tcPr>
            <w:tcW w:type="dxa" w:w="40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1"/>
              </w:numPr>
              <w:tabs>
                <w:tab w:leader="none" w:pos="0" w:val="left"/>
                <w:tab w:leader="none" w:pos="708" w:val="left"/>
              </w:tabs>
              <w:spacing w:after="60" w:before="240" w:line="276" w:lineRule="auto"/>
              <w:jc w:val="center"/>
            </w:pPr>
            <w:r>
              <w:rPr>
                <w:color w:val="4C4C4C"/>
              </w:rPr>
            </w:r>
          </w:p>
        </w:tc>
        <w:tc>
          <w:tcPr>
            <w:tcW w:type="dxa" w:w="5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  <w:tab w:leader="none" w:pos="708" w:val="left"/>
              </w:tabs>
              <w:spacing w:after="60" w:before="240" w:line="276" w:lineRule="auto"/>
              <w:jc w:val="center"/>
            </w:pPr>
            <w:r>
              <w:rPr>
                <w:color w:val="4C4C4C"/>
                <w:sz w:val="24"/>
                <w:szCs w:val="24"/>
              </w:rPr>
              <w:t>Conselho Superior Acadêmico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bCs/>
                <w:color w:val="4C4C4C"/>
                <w:sz w:val="24"/>
                <w:szCs w:val="24"/>
              </w:rPr>
              <w:t>CONSEA</w:t>
            </w:r>
          </w:p>
        </w:tc>
      </w:tr>
      <w:tr>
        <w:trPr>
          <w:trHeight w:hRule="atLeast" w:val="357"/>
          <w:cantSplit w:val="true"/>
        </w:trPr>
        <w:tc>
          <w:tcPr>
            <w:tcW w:type="dxa" w:w="40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color w:val="4C4C4C"/>
              </w:rPr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Processo</w:t>
            </w:r>
            <w:r>
              <w:rPr>
                <w:rFonts w:ascii="Arial" w:cs="Arial" w:hAnsi="Arial"/>
                <w:bCs/>
                <w:color w:val="4C4C4C"/>
              </w:rPr>
              <w:t>:</w:t>
            </w:r>
            <w:r>
              <w:rPr>
                <w:rFonts w:ascii="Arial" w:cs="Arial" w:hAnsi="Arial"/>
                <w:color w:val="4C4C4C"/>
              </w:rPr>
              <w:t xml:space="preserve"> </w:t>
            </w:r>
            <w:r>
              <w:rPr>
                <w:rFonts w:ascii="Arial" w:cs="Arial" w:hAnsi="Arial"/>
                <w:color w:val="4C4C4C"/>
                <w:lang w:bidi="bn-IN"/>
              </w:rPr>
              <w:t>23118.001399/2012-76</w:t>
            </w:r>
          </w:p>
        </w:tc>
        <w:tc>
          <w:tcPr>
            <w:tcW w:type="dxa" w:w="5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rFonts w:ascii="Arial" w:cs="Arial" w:hAnsi="Arial"/>
                <w:color w:val="4C4C4C"/>
                <w:sz w:val="24"/>
                <w:szCs w:val="24"/>
              </w:rPr>
              <w:t>Da Presidência dos Conselhos Superiores</w:t>
            </w:r>
          </w:p>
          <w:p>
            <w:pPr>
              <w:pStyle w:val="style0"/>
            </w:pPr>
            <w:r>
              <w:rPr>
                <w:color w:val="4C4C4C"/>
              </w:rPr>
            </w:r>
          </w:p>
          <w:p>
            <w:pPr>
              <w:pStyle w:val="style0"/>
            </w:pPr>
            <w:r>
              <w:rPr>
                <w:color w:val="4C4C4C"/>
              </w:rPr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color w:val="4C4C4C"/>
              </w:rPr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color w:val="4C4C4C"/>
              </w:rPr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color w:val="4C4C4C"/>
              </w:rPr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rFonts w:ascii="Arial" w:cs="Arial" w:hAnsi="Arial"/>
                <w:b/>
                <w:bCs/>
                <w:color w:val="4C4C4C"/>
                <w:sz w:val="22"/>
                <w:szCs w:val="22"/>
              </w:rPr>
              <w:t>Homologado em 04 de dezembro de 2012.</w:t>
            </w:r>
          </w:p>
          <w:p>
            <w:pPr>
              <w:pStyle w:val="style0"/>
              <w:tabs>
                <w:tab w:leader="none" w:pos="0" w:val="left"/>
                <w:tab w:leader="none" w:pos="708" w:val="left"/>
              </w:tabs>
              <w:spacing w:after="0" w:before="0"/>
              <w:jc w:val="center"/>
            </w:pPr>
            <w:r>
              <w:rPr>
                <w:color w:val="4C4C4C"/>
              </w:rPr>
            </w:r>
          </w:p>
        </w:tc>
      </w:tr>
      <w:tr>
        <w:trPr>
          <w:trHeight w:hRule="atLeast" w:val="358"/>
          <w:cantSplit w:val="true"/>
        </w:trPr>
        <w:tc>
          <w:tcPr>
            <w:tcW w:type="dxa" w:w="40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4C4C4C"/>
                <w:lang w:val="en-US"/>
              </w:rPr>
              <w:t>Parecer</w:t>
            </w:r>
            <w:r>
              <w:rPr>
                <w:rFonts w:ascii="Arial" w:cs="Arial" w:hAnsi="Arial"/>
                <w:color w:val="4C4C4C"/>
                <w:lang w:val="en-US"/>
              </w:rPr>
              <w:t xml:space="preserve">: </w:t>
            </w:r>
            <w:r>
              <w:rPr>
                <w:rFonts w:ascii="Arial" w:cs="Arial" w:hAnsi="Arial"/>
                <w:b/>
                <w:bCs/>
                <w:color w:val="4C4C4C"/>
                <w:lang w:val="en-US"/>
              </w:rPr>
              <w:t>1262/CGR</w:t>
            </w:r>
          </w:p>
        </w:tc>
        <w:tc>
          <w:tcPr>
            <w:tcW w:type="dxa" w:w="5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color w:val="4C4C4C"/>
              </w:rPr>
            </w:r>
          </w:p>
        </w:tc>
      </w:tr>
      <w:tr>
        <w:trPr>
          <w:trHeight w:hRule="atLeast" w:val="1273"/>
          <w:cantSplit w:val="true"/>
        </w:trPr>
        <w:tc>
          <w:tcPr>
            <w:tcW w:type="dxa" w:w="40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color w:val="4C4C4C"/>
              </w:rPr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color w:val="4C4C4C"/>
              </w:rPr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4C4C4C"/>
                <w:sz w:val="24"/>
                <w:szCs w:val="24"/>
              </w:rPr>
              <w:t>Câmara de Graduação - CGR</w:t>
            </w:r>
          </w:p>
          <w:p>
            <w:pPr>
              <w:pStyle w:val="style0"/>
              <w:jc w:val="center"/>
            </w:pPr>
            <w:r>
              <w:rPr>
                <w:color w:val="4C4C4C"/>
              </w:rPr>
            </w:r>
          </w:p>
        </w:tc>
        <w:tc>
          <w:tcPr>
            <w:tcW w:type="dxa" w:w="52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  <w:jc w:val="center"/>
            </w:pPr>
            <w:r>
              <w:rPr>
                <w:color w:val="4C4C4C"/>
              </w:rPr>
            </w:r>
          </w:p>
        </w:tc>
      </w:tr>
      <w:tr>
        <w:trPr>
          <w:cantSplit w:val="false"/>
        </w:trPr>
        <w:tc>
          <w:tcPr>
            <w:tcW w:type="dxa" w:w="45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Assunto</w:t>
            </w:r>
            <w:r>
              <w:rPr>
                <w:rFonts w:ascii="Arial" w:cs="Arial" w:hAnsi="Arial"/>
                <w:bCs/>
                <w:color w:val="4C4C4C"/>
              </w:rPr>
              <w:t xml:space="preserve">: </w:t>
            </w:r>
            <w:r>
              <w:rPr>
                <w:rFonts w:ascii="Arial" w:cs="Arial" w:hAnsi="Arial"/>
                <w:color w:val="4C4C4C"/>
              </w:rPr>
              <w:t>Regulamento Interno</w:t>
            </w:r>
            <w:r>
              <w:rPr>
                <w:rFonts w:ascii="Arial" w:cs="Arial" w:hAnsi="Arial"/>
                <w:b/>
                <w:bCs/>
                <w:color w:val="4C4C4C"/>
              </w:rPr>
              <w:t xml:space="preserve"> -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Projeto final de Curso e de Trabalho de Conclusão de Curso – TCC do DEA</w:t>
            </w:r>
          </w:p>
        </w:tc>
      </w:tr>
      <w:tr>
        <w:trPr>
          <w:cantSplit w:val="false"/>
        </w:trPr>
        <w:tc>
          <w:tcPr>
            <w:tcW w:type="dxa" w:w="45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cs="Arial" w:hAnsi="Arial"/>
                <w:color w:val="4C4C4C"/>
              </w:rPr>
              <w:t>Ana Lúcia Denardin da Rosa</w:t>
            </w:r>
            <w:r>
              <w:rPr>
                <w:rFonts w:ascii="Arial" w:cs="Arial" w:hAnsi="Arial"/>
                <w:b/>
                <w:bCs/>
                <w:color w:val="4C4C4C"/>
              </w:rPr>
              <w:t xml:space="preserve"> - 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Diretoria</w:t>
            </w:r>
            <w:r>
              <w:rPr>
                <w:rFonts w:ascii="Arial" w:cs="Arial" w:hAnsi="Arial"/>
                <w:b/>
                <w:bCs/>
                <w:color w:val="4C4C4C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do</w:t>
            </w:r>
            <w:r>
              <w:rPr>
                <w:rFonts w:ascii="Arial" w:cs="Arial" w:hAnsi="Arial"/>
                <w:b/>
                <w:bCs/>
                <w:color w:val="4C4C4C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4C4C4C"/>
              </w:rPr>
              <w:t>Campus de Ji-Paraná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451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Relator</w:t>
            </w:r>
            <w:r>
              <w:rPr>
                <w:rFonts w:ascii="Arial" w:cs="Arial" w:hAnsi="Arial"/>
                <w:color w:val="4C4C4C"/>
              </w:rPr>
              <w:t>: Conselheira Cleiciane Aiane Noleto da Silva</w:t>
            </w:r>
          </w:p>
        </w:tc>
      </w:tr>
    </w:tbl>
    <w:p>
      <w:pPr>
        <w:pStyle w:val="style0"/>
      </w:pPr>
      <w:r>
        <w:rPr/>
      </w:r>
    </w:p>
    <w:p>
      <w:pPr>
        <w:pStyle w:val="style17"/>
      </w:pPr>
      <w:r>
        <w:rPr/>
      </w:r>
    </w:p>
    <w:p>
      <w:pPr>
        <w:pStyle w:val="style0"/>
        <w:jc w:val="both"/>
      </w:pPr>
      <w:r>
        <w:rPr>
          <w:rFonts w:ascii="Arial" w:hAnsi="Arial"/>
          <w:b/>
          <w:bCs/>
          <w:color w:val="4C4C4C"/>
          <w:sz w:val="24"/>
          <w:szCs w:val="24"/>
        </w:rPr>
        <w:t>Parecer da Câmara</w:t>
      </w:r>
    </w:p>
    <w:p>
      <w:pPr>
        <w:pStyle w:val="style0"/>
        <w:ind w:firstLine="525" w:left="15" w:right="0"/>
        <w:jc w:val="both"/>
      </w:pPr>
      <w:r>
        <w:rPr>
          <w:color w:val="4C4C4C"/>
        </w:rPr>
      </w:r>
    </w:p>
    <w:p>
      <w:pPr>
        <w:pStyle w:val="style0"/>
        <w:ind w:firstLine="525" w:left="15" w:right="0"/>
        <w:jc w:val="both"/>
      </w:pPr>
      <w:r>
        <w:rPr>
          <w:rFonts w:ascii="Arial" w:cs="Arial" w:hAnsi="Arial"/>
          <w:b w:val="false"/>
          <w:bCs w:val="false"/>
          <w:color w:val="4C4C4C"/>
          <w:sz w:val="24"/>
          <w:szCs w:val="24"/>
        </w:rPr>
        <w:t xml:space="preserve">Na 114ª sessão ordinária em 03/12/2012, a Câmara acompanha o parecer 1259/CGR da relatora, com emenda aditiva para que seja anexado ao processo o arquivo digital em PDF, conforme </w:t>
      </w:r>
      <w:r>
        <w:rPr>
          <w:rFonts w:ascii="Arial" w:cs="Arial" w:hAnsi="Arial"/>
          <w:b/>
          <w:bCs/>
          <w:color w:val="4C4C4C"/>
          <w:sz w:val="24"/>
          <w:szCs w:val="24"/>
        </w:rPr>
        <w:t>Art. 3º</w:t>
      </w:r>
      <w:r>
        <w:rPr>
          <w:rFonts w:ascii="Arial" w:cs="Arial" w:hAnsi="Arial"/>
          <w:b w:val="false"/>
          <w:bCs w:val="false"/>
          <w:color w:val="4C4C4C"/>
          <w:sz w:val="24"/>
          <w:szCs w:val="24"/>
        </w:rPr>
        <w:t xml:space="preserve"> da Resolução n.º 278/ CONSEA, de 04 de junho de 2012.</w:t>
      </w:r>
    </w:p>
    <w:p>
      <w:pPr>
        <w:pStyle w:val="style17"/>
      </w:pPr>
      <w:r>
        <w:rPr>
          <w:color w:val="4C4C4C"/>
        </w:rPr>
      </w:r>
    </w:p>
    <w:p>
      <w:pPr>
        <w:pStyle w:val="style17"/>
      </w:pPr>
      <w:r>
        <w:rPr>
          <w:color w:val="4C4C4C"/>
        </w:rPr>
      </w:r>
    </w:p>
    <w:p>
      <w:pPr>
        <w:pStyle w:val="style17"/>
      </w:pPr>
      <w:r>
        <w:rPr>
          <w:color w:val="4C4C4C"/>
        </w:rPr>
      </w:r>
    </w:p>
    <w:p>
      <w:pPr>
        <w:pStyle w:val="style17"/>
        <w:ind w:hanging="0" w:left="0" w:right="0"/>
      </w:pPr>
      <w:r>
        <w:rPr>
          <w:color w:val="4C4C4C"/>
        </w:rPr>
      </w:r>
    </w:p>
    <w:p>
      <w:pPr>
        <w:pStyle w:val="style0"/>
        <w:tabs>
          <w:tab w:leader="none" w:pos="360" w:val="left"/>
          <w:tab w:leader="none" w:pos="708" w:val="left"/>
          <w:tab w:leader="none" w:pos="900" w:val="left"/>
        </w:tabs>
        <w:spacing w:after="28" w:before="28" w:line="200" w:lineRule="atLeast"/>
        <w:ind w:hanging="0" w:left="0" w:right="-384"/>
        <w:jc w:val="center"/>
      </w:pPr>
      <w:r>
        <w:rPr>
          <w:rFonts w:ascii="Arial" w:cs="Arial" w:hAnsi="Arial"/>
          <w:color w:val="4C4C4C"/>
          <w:sz w:val="24"/>
          <w:szCs w:val="24"/>
        </w:rPr>
        <w:t>Conselheiro Carlos Luiz ferreira da Silva</w:t>
      </w:r>
    </w:p>
    <w:p>
      <w:pPr>
        <w:pStyle w:val="style0"/>
        <w:tabs>
          <w:tab w:leader="none" w:pos="360" w:val="left"/>
          <w:tab w:leader="none" w:pos="708" w:val="left"/>
          <w:tab w:leader="none" w:pos="900" w:val="left"/>
        </w:tabs>
        <w:spacing w:after="28" w:before="28" w:line="200" w:lineRule="atLeast"/>
        <w:ind w:hanging="0" w:left="0" w:right="-384"/>
        <w:jc w:val="center"/>
      </w:pPr>
      <w:r>
        <w:rPr>
          <w:rFonts w:ascii="Arial" w:cs="Arial" w:hAnsi="Arial"/>
          <w:b w:val="false"/>
          <w:bCs w:val="false"/>
          <w:color w:val="4C4C4C"/>
          <w:sz w:val="24"/>
          <w:szCs w:val="24"/>
        </w:rPr>
        <w:t>Presidente</w:t>
      </w:r>
    </w:p>
    <w:p>
      <w:pPr>
        <w:pStyle w:val="style17"/>
      </w:pPr>
      <w:r>
        <w:rPr>
          <w:color w:val="4C4C4C"/>
        </w:rPr>
      </w:r>
    </w:p>
    <w:p>
      <w:pPr>
        <w:pStyle w:val="style17"/>
      </w:pPr>
      <w:r>
        <w:rPr>
          <w:color w:val="4C4C4C"/>
        </w:rPr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p>
      <w:pPr>
        <w:pStyle w:val="style17"/>
      </w:pPr>
      <w:r>
        <w:rPr/>
      </w:r>
    </w:p>
    <w:tbl>
      <w:tblPr>
        <w:jc w:val="left"/>
        <w:tblInd w:type="dxa" w:w="-78"/>
        <w:tblBorders>
          <w:top w:color="000001" w:space="0" w:sz="4" w:val="single"/>
          <w:left w:color="000001" w:space="0" w:sz="4" w:val="single"/>
        </w:tblBorders>
      </w:tblPr>
      <w:tblGrid>
        <w:gridCol w:w="4326"/>
        <w:gridCol w:w="4673"/>
      </w:tblGrid>
      <w:tr>
        <w:trPr>
          <w:trHeight w:hRule="atLeast" w:val="524"/>
          <w:cantSplit w:val="false"/>
        </w:trPr>
        <w:tc>
          <w:tcPr>
            <w:tcW w:type="dxa" w:w="4326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/>
            </w:r>
          </w:p>
        </w:tc>
        <w:tc>
          <w:tcPr>
            <w:tcW w:type="dxa" w:w="4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333333"/>
              </w:rPr>
              <w:t>Processo</w:t>
            </w:r>
            <w:r>
              <w:rPr>
                <w:rFonts w:ascii="Arial" w:cs="Arial" w:hAnsi="Arial"/>
                <w:bCs/>
                <w:color w:val="333333"/>
              </w:rPr>
              <w:t>:</w:t>
            </w:r>
            <w:r>
              <w:rPr>
                <w:rFonts w:ascii="Arial" w:cs="Arial" w:hAnsi="Arial"/>
                <w:color w:val="333333"/>
              </w:rPr>
              <w:t xml:space="preserve"> </w:t>
            </w:r>
            <w:r>
              <w:rPr>
                <w:rFonts w:ascii="Arial" w:cs="Arial" w:hAnsi="Arial"/>
                <w:color w:val="333333"/>
                <w:lang w:bidi="bn-IN"/>
              </w:rPr>
              <w:t>23118.001399/2012-76</w:t>
            </w:r>
          </w:p>
        </w:tc>
      </w:tr>
      <w:tr>
        <w:trPr>
          <w:trHeight w:hRule="atLeast" w:val="484"/>
          <w:cantSplit w:val="false"/>
        </w:trPr>
        <w:tc>
          <w:tcPr>
            <w:tcW w:type="dxa" w:w="4326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</w:tc>
        <w:tc>
          <w:tcPr>
            <w:tcW w:type="dxa" w:w="46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333333"/>
                <w:lang w:val="en-US"/>
              </w:rPr>
              <w:t>Parecer</w:t>
            </w:r>
            <w:r>
              <w:rPr>
                <w:rFonts w:ascii="Arial" w:cs="Arial" w:hAnsi="Arial"/>
                <w:color w:val="333333"/>
                <w:lang w:val="en-US"/>
              </w:rPr>
              <w:t>: 1262/CGR</w:t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449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333333"/>
              </w:rPr>
              <w:t>Assunto</w:t>
            </w:r>
            <w:r>
              <w:rPr>
                <w:rFonts w:ascii="Arial" w:cs="Arial" w:hAnsi="Arial"/>
                <w:bCs/>
                <w:color w:val="333333"/>
              </w:rPr>
              <w:t xml:space="preserve">: </w:t>
            </w:r>
            <w:r>
              <w:rPr>
                <w:rFonts w:ascii="Arial" w:cs="Arial" w:hAnsi="Arial"/>
                <w:color w:val="333333"/>
              </w:rPr>
              <w:t>Regulamento Interno</w:t>
            </w:r>
            <w:r>
              <w:rPr>
                <w:rFonts w:ascii="Arial" w:cs="Arial" w:hAnsi="Arial"/>
                <w:b/>
                <w:bCs/>
                <w:color w:val="333333"/>
              </w:rPr>
              <w:t xml:space="preserve"> - </w:t>
            </w:r>
            <w:r>
              <w:rPr>
                <w:rFonts w:ascii="Arial" w:cs="Arial" w:hAnsi="Arial"/>
                <w:b w:val="false"/>
                <w:bCs w:val="false"/>
                <w:color w:val="333333"/>
              </w:rPr>
              <w:t>Projeto final de Curso e de Trabalho de Conclusão de Curso – TCC do DEA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449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333333"/>
              </w:rPr>
              <w:t xml:space="preserve">Interessado: </w:t>
            </w:r>
            <w:r>
              <w:rPr>
                <w:rFonts w:ascii="Arial" w:cs="Arial" w:hAnsi="Arial"/>
                <w:color w:val="333333"/>
              </w:rPr>
              <w:t>Ana Lúcia Denardin da Rosa</w:t>
            </w:r>
            <w:r>
              <w:rPr>
                <w:rFonts w:ascii="Arial" w:cs="Arial" w:hAnsi="Arial"/>
                <w:b/>
                <w:bCs/>
                <w:color w:val="333333"/>
              </w:rPr>
              <w:t xml:space="preserve"> -  </w:t>
            </w:r>
            <w:r>
              <w:rPr>
                <w:rFonts w:ascii="Arial" w:cs="Arial" w:hAnsi="Arial"/>
                <w:b w:val="false"/>
                <w:bCs w:val="false"/>
                <w:color w:val="333333"/>
              </w:rPr>
              <w:t>Diretoria</w:t>
            </w:r>
            <w:r>
              <w:rPr>
                <w:rFonts w:ascii="Arial" w:cs="Arial" w:hAnsi="Arial"/>
                <w:b/>
                <w:bCs/>
                <w:color w:val="333333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333333"/>
              </w:rPr>
              <w:t>do</w:t>
            </w:r>
            <w:r>
              <w:rPr>
                <w:rFonts w:ascii="Arial" w:cs="Arial" w:hAnsi="Arial"/>
                <w:b/>
                <w:bCs/>
                <w:color w:val="333333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333333"/>
              </w:rPr>
              <w:t>Campus de Ji-Paraná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449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333333"/>
              </w:rPr>
              <w:t>Relator</w:t>
            </w:r>
            <w:r>
              <w:rPr>
                <w:rFonts w:ascii="Arial" w:cs="Arial" w:hAnsi="Arial"/>
                <w:color w:val="333333"/>
              </w:rPr>
              <w:t>: Conselheira Cleiciane Aiane Noleto da Silva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both"/>
      </w:pPr>
      <w:r>
        <w:rPr>
          <w:color w:val="333333"/>
        </w:rPr>
        <w:t xml:space="preserve">I – </w:t>
      </w:r>
      <w:r>
        <w:rPr>
          <w:b/>
          <w:bCs/>
          <w:color w:val="333333"/>
        </w:rPr>
        <w:t>Relato: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>O referido processo trata da regulamentação das normas para o Trabalho de Conclusão de Curso (TCC) do Departamento de Engenharia Ambiental – DEA. Consta no processo: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>1 – OS nº 09/2011 / Departamento de Engenharia Ambiental designando a comissão responsável pelos ajustes/alterações da normativa do departamento sobre TCC, página 1;</w:t>
      </w:r>
    </w:p>
    <w:p>
      <w:pPr>
        <w:pStyle w:val="style0"/>
        <w:jc w:val="both"/>
      </w:pPr>
      <w:r>
        <w:rPr>
          <w:color w:val="333333"/>
        </w:rPr>
        <w:t>2 – Normatização nº 001/2012 – DEA, páginas 2 à 9;</w:t>
      </w:r>
    </w:p>
    <w:p>
      <w:pPr>
        <w:pStyle w:val="style0"/>
        <w:jc w:val="both"/>
      </w:pPr>
      <w:r>
        <w:rPr>
          <w:color w:val="333333"/>
        </w:rPr>
        <w:t>3 – Ata do Conselho do Departamento de Engenharia Ambiental aprovando a proposta da normatização, página 10;</w:t>
      </w:r>
    </w:p>
    <w:p>
      <w:pPr>
        <w:pStyle w:val="style0"/>
        <w:jc w:val="both"/>
      </w:pPr>
      <w:r>
        <w:rPr>
          <w:color w:val="333333"/>
        </w:rPr>
        <w:t>4 – Encaminhamento do processo para a Direção do Campus de Ji-paraná, página11;</w:t>
      </w:r>
    </w:p>
    <w:p>
      <w:pPr>
        <w:pStyle w:val="style0"/>
        <w:jc w:val="both"/>
      </w:pPr>
      <w:r>
        <w:rPr>
          <w:color w:val="333333"/>
        </w:rPr>
        <w:t>5 – Despacho nº 035/2012/DCJP encaminhando o processo para o conselheiro Walter Trennepohl Júnior para análise e parecer, página 12;</w:t>
      </w:r>
    </w:p>
    <w:p>
      <w:pPr>
        <w:pStyle w:val="style0"/>
        <w:jc w:val="both"/>
      </w:pPr>
      <w:r>
        <w:rPr>
          <w:color w:val="333333"/>
        </w:rPr>
        <w:t>6 – Encaminhamento do processo para o DEA com solicitações de alterações, página 13;</w:t>
      </w:r>
    </w:p>
    <w:p>
      <w:pPr>
        <w:pStyle w:val="style0"/>
        <w:jc w:val="both"/>
      </w:pPr>
      <w:r>
        <w:rPr>
          <w:color w:val="333333"/>
        </w:rPr>
        <w:t>7 – Encaminhamento do processo para que a comissão responsável realize as alterações solicitadas, página 14;</w:t>
      </w:r>
    </w:p>
    <w:p>
      <w:pPr>
        <w:pStyle w:val="style0"/>
        <w:jc w:val="both"/>
      </w:pPr>
      <w:r>
        <w:rPr>
          <w:color w:val="333333"/>
        </w:rPr>
        <w:t>8 – Encaminhamento do processo à chefe do DEA com as alterações solicitadas, página 15;</w:t>
      </w:r>
    </w:p>
    <w:p>
      <w:pPr>
        <w:pStyle w:val="style0"/>
        <w:jc w:val="both"/>
      </w:pPr>
      <w:r>
        <w:rPr>
          <w:color w:val="333333"/>
        </w:rPr>
        <w:t>9 – Normatização nº 001/2010 – DEA, páginas 16 à 28;</w:t>
      </w:r>
    </w:p>
    <w:p>
      <w:pPr>
        <w:pStyle w:val="style0"/>
        <w:jc w:val="both"/>
      </w:pPr>
      <w:r>
        <w:rPr>
          <w:color w:val="333333"/>
        </w:rPr>
        <w:t>10 – Parecer favorável ao processo realizado pelo conselheiro do Walter Trennephol Júnior encaminhado ao Conselho do Campus de Ji-Paraná, página 29;</w:t>
      </w:r>
    </w:p>
    <w:p>
      <w:pPr>
        <w:pStyle w:val="style0"/>
        <w:jc w:val="both"/>
      </w:pPr>
      <w:r>
        <w:rPr>
          <w:color w:val="333333"/>
        </w:rPr>
        <w:t>11 – Ata do Consec aprovando o parecer do relator, páginas 30 e 31;</w:t>
      </w:r>
    </w:p>
    <w:p>
      <w:pPr>
        <w:pStyle w:val="style0"/>
        <w:jc w:val="both"/>
      </w:pPr>
      <w:r>
        <w:rPr>
          <w:color w:val="333333"/>
        </w:rPr>
        <w:t>12 – Despacho nº 085/2012/DCJP encaminhando o processo à SECONS para as providências necessárias, página 32;</w:t>
      </w:r>
    </w:p>
    <w:p>
      <w:pPr>
        <w:pStyle w:val="style0"/>
        <w:jc w:val="both"/>
      </w:pPr>
      <w:r>
        <w:rPr>
          <w:color w:val="333333"/>
        </w:rPr>
        <w:t>13 – Encaminhamento do processo ao Conselheiro Carlos Luiz Ferreira da Silva para instrução ou indicação de relator com despacho do mesmo encaminhando-o à Conselheira Cleiciane Aiane Noleto da Silva para análise e parecer, página 33.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 xml:space="preserve">II – </w:t>
      </w:r>
      <w:r>
        <w:rPr>
          <w:b/>
          <w:bCs/>
          <w:color w:val="333333"/>
        </w:rPr>
        <w:t>Análise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>O processo foi iniciado com a Ordem de serviço nº 09/2011, emitida pela chefe do Departamento de Engenharia Ambiental, nomeando a comissão responsável pelos ajustes/alterações da normativa do DEA relativa à elaboração de Trabalhos de Conclusão de Curso. Foi aprovado em reunião do departamento, encaminhado ao Conselho do Campus de Ji-paraná e retornou para alterações na normativa. Com as alterações realizadas, foi novamente encaminhado ao conselho do campus, sendo assim aprovado em reunião e encaminhado à Secons.</w:t>
      </w:r>
    </w:p>
    <w:p>
      <w:pPr>
        <w:pStyle w:val="style0"/>
        <w:jc w:val="both"/>
      </w:pPr>
      <w:r>
        <w:rPr>
          <w:color w:val="333333"/>
        </w:rPr>
        <w:t>O processo seguiu os trâmites regimentais necessários e a normativa está de acordo com a Resolução 242/CONSEPE, de 1997, que trata das Normas para apresentação de Monografia para os Cursos de Graduação.</w:t>
      </w:r>
    </w:p>
    <w:p>
      <w:pPr>
        <w:pStyle w:val="style0"/>
        <w:jc w:val="both"/>
      </w:pPr>
      <w:r>
        <w:rPr>
          <w:color w:val="333333"/>
        </w:rPr>
        <w:t>Na folha 16, que apresenta a normatização alterada conforme solicitação, consta a numeração desta como “001/2010 – DEA”, quando deveria constar o ano de 2012. Desta forma solicito correção.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 xml:space="preserve">III – </w:t>
      </w:r>
      <w:r>
        <w:rPr>
          <w:b/>
          <w:bCs/>
          <w:color w:val="333333"/>
        </w:rPr>
        <w:t>Parecer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333333"/>
        </w:rPr>
        <w:t>Diante do exposto, sou de parecer favorável à aprovação da Normatização dos Trabalhos de Conclusão de Curso do Departamento de Engenharia Ambiental.</w:t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color w:val="333333"/>
        </w:rPr>
        <w:t>Porto Velho, 01 de novembro de 2012.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color w:val="333333"/>
        </w:rPr>
        <w:t>Cleiciane Aiane Noleto da Silva</w:t>
      </w:r>
    </w:p>
    <w:p>
      <w:pPr>
        <w:pStyle w:val="style0"/>
        <w:jc w:val="center"/>
      </w:pPr>
      <w:r>
        <w:rPr>
          <w:color w:val="333333"/>
        </w:rPr>
        <w:t>Relatora CGR/CONSEA</w:t>
      </w:r>
    </w:p>
    <w:sectPr>
      <w:type w:val="nextPage"/>
      <w:pgSz w:h="16838" w:w="11906"/>
      <w:pgMar w:bottom="1417" w:footer="0" w:gutter="0" w:header="0" w:left="1701" w:right="114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17"/>
    <w:pPr>
      <w:keepNext/>
      <w:numPr>
        <w:ilvl w:val="0"/>
        <w:numId w:val="1"/>
      </w:numPr>
      <w:spacing w:after="60" w:before="240"/>
      <w:outlineLvl w:val="0"/>
    </w:pPr>
    <w:rPr>
      <w:rFonts w:ascii="Cambria" w:cs="Times New Roman" w:eastAsia="Times New Roman" w:hAnsi="Cambria"/>
      <w:b/>
      <w:bCs/>
      <w:sz w:val="32"/>
      <w:szCs w:val="32"/>
    </w:rPr>
  </w:style>
  <w:style w:styleId="style3" w:type="paragraph">
    <w:name w:val="Título 3"/>
    <w:basedOn w:val="style0"/>
    <w:next w:val="style17"/>
    <w:pPr>
      <w:keepNext/>
      <w:numPr>
        <w:ilvl w:val="2"/>
        <w:numId w:val="1"/>
      </w:numPr>
      <w:suppressAutoHyphens w:val="true"/>
      <w:spacing w:after="60" w:before="240" w:line="100" w:lineRule="atLeast"/>
      <w:outlineLvl w:val="2"/>
    </w:pPr>
    <w:rPr>
      <w:rFonts w:ascii="Arial" w:cs="Arial" w:hAnsi="Arial"/>
      <w:b/>
      <w:bCs/>
      <w:sz w:val="26"/>
      <w:szCs w:val="26"/>
    </w:rPr>
  </w:style>
  <w:style w:styleId="style8" w:type="paragraph">
    <w:name w:val="Título 8"/>
    <w:basedOn w:val="style0"/>
    <w:next w:val="style17"/>
    <w:pPr>
      <w:numPr>
        <w:ilvl w:val="7"/>
        <w:numId w:val="1"/>
      </w:numPr>
      <w:suppressAutoHyphens w:val="true"/>
      <w:spacing w:after="60" w:before="240" w:line="100" w:lineRule="atLeast"/>
      <w:outlineLvl w:val="7"/>
    </w:pPr>
    <w:rPr>
      <w:b/>
      <w:bCs/>
      <w:i/>
      <w:iCs/>
      <w:sz w:val="18"/>
      <w:szCs w:val="18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onteúdo da tabela"/>
    <w:basedOn w:val="style0"/>
    <w:next w:val="style21"/>
    <w:pPr>
      <w:suppressLineNumbers/>
    </w:pPr>
    <w:rPr/>
  </w:style>
  <w:style w:styleId="style22" w:type="paragraph">
    <w:name w:val="Título de tabela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2012-11-01T14:45:00.00Z</dcterms:created>
  <dc:creator>Usuario</dc:creator>
  <cp:lastModifiedBy>Usuario</cp:lastModifiedBy>
  <cp:lastPrinted>2012-12-11T11:02:05.26Z</cp:lastPrinted>
  <dcterms:modified xsi:type="dcterms:W3CDTF">2012-11-01T14:45:00.00Z</dcterms:modified>
  <cp:revision>2</cp:revision>
</cp:coreProperties>
</file>