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5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36"/>
      </w:tblGrid>
      <w:tr w:rsidR="00BB5145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pStyle w:val="Ttulo8"/>
              <w:numPr>
                <w:ilvl w:val="7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  <w:r>
              <w:object w:dxaOrig="3465" w:dyaOrig="709">
                <v:shape id="ole_rId2" o:spid="_x0000_i1025" style="width:173.45pt;height:35.7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1295437" r:id="rId9"/>
              </w:objec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pStyle w:val="Ttulo7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 w:cs="Arial"/>
              </w:rPr>
              <w:t>CÂMARA DE PESQUISA E EXTENSÃO – CPE</w:t>
            </w:r>
          </w:p>
        </w:tc>
      </w:tr>
      <w:tr w:rsidR="00BB5145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pStyle w:val="Ttulo8"/>
              <w:numPr>
                <w:ilvl w:val="7"/>
                <w:numId w:val="3"/>
              </w:numPr>
              <w:spacing w:before="0" w:after="0"/>
              <w:ind w:left="0" w:firstLine="0"/>
              <w:jc w:val="center"/>
            </w:pPr>
            <w:r>
              <w:rPr>
                <w:rFonts w:ascii="Arial" w:hAnsi="Arial" w:cs="Arial"/>
                <w:b/>
                <w:i w:val="0"/>
              </w:rPr>
              <w:t>Processo n.º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23118.003145/2018-88</w: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pStyle w:val="Ttulo7"/>
              <w:numPr>
                <w:ilvl w:val="6"/>
                <w:numId w:val="3"/>
              </w:numPr>
              <w:spacing w:before="0"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2334/CPE</w:t>
            </w:r>
          </w:p>
        </w:tc>
      </w:tr>
      <w:tr w:rsidR="00BB514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r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“Cartas do Rio a Rua”. </w:t>
            </w:r>
          </w:p>
        </w:tc>
      </w:tr>
      <w:tr w:rsidR="00BB514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Interessada: 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Dr. Márcia Machado de Lima </w:t>
            </w:r>
          </w:p>
        </w:tc>
      </w:tr>
      <w:tr w:rsidR="00BB514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B5145" w:rsidRDefault="0096697B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_DdeLink__1692_982268268"/>
            <w:bookmarkEnd w:id="0"/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BB5145" w:rsidRDefault="00BB5145">
      <w:pPr>
        <w:ind w:right="-1"/>
        <w:jc w:val="both"/>
        <w:rPr>
          <w:rFonts w:ascii="Arial" w:hAnsi="Arial" w:cs="Arial"/>
          <w:b/>
        </w:rPr>
      </w:pPr>
    </w:p>
    <w:p w:rsidR="00BB5145" w:rsidRDefault="0096697B">
      <w:pPr>
        <w:numPr>
          <w:ilvl w:val="0"/>
          <w:numId w:val="4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</w:p>
    <w:p w:rsidR="00BB5145" w:rsidRDefault="0096697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</w:rPr>
        <w:t>23118.003145/2018-88 apresenta um  total de 45 folhas. Entre as quais encontram-se os seguintes documentos: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Memorando n. 136/DED (fl.01)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devidamente assinado pelo proponente. (fls. 02-29)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Ordem de serviço n.17/DED/UNIR (fl. </w:t>
      </w:r>
      <w:r>
        <w:rPr>
          <w:rFonts w:ascii="Arial" w:hAnsi="Arial" w:cs="Arial"/>
          <w:sz w:val="24"/>
          <w:szCs w:val="24"/>
        </w:rPr>
        <w:t>30)</w:t>
      </w:r>
    </w:p>
    <w:p w:rsidR="00BB5145" w:rsidRDefault="0096697B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Despacho n.38/2018/DED (fl.31)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da Profa. Edna Maria Cordeiro (fls.32-33)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Conselho DED aprovando o parecer da conselheira (fls. 34-37)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 40/2018/DED (fl.38)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Dr. Lucas Martins G. Khalil (fls.39-40)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</w:t>
      </w:r>
      <w:r>
        <w:rPr>
          <w:rFonts w:ascii="Arial" w:hAnsi="Arial" w:cs="Arial"/>
          <w:sz w:val="24"/>
          <w:szCs w:val="24"/>
        </w:rPr>
        <w:t xml:space="preserve"> aprovação do conselho NCH (fl.41-42)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n.138/2018 NCH</w:t>
      </w:r>
    </w:p>
    <w:p w:rsidR="00BB5145" w:rsidRDefault="009669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n.0577/2018/SECONS</w:t>
      </w:r>
    </w:p>
    <w:p w:rsidR="00BB5145" w:rsidRDefault="00BB5145">
      <w:pPr>
        <w:jc w:val="both"/>
        <w:rPr>
          <w:rFonts w:ascii="Arial" w:hAnsi="Arial" w:cs="Arial"/>
          <w:sz w:val="24"/>
          <w:szCs w:val="24"/>
        </w:rPr>
      </w:pPr>
    </w:p>
    <w:p w:rsidR="00BB5145" w:rsidRDefault="0096697B">
      <w:pPr>
        <w:numPr>
          <w:ilvl w:val="0"/>
          <w:numId w:val="4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ANÁLISE</w:t>
      </w:r>
    </w:p>
    <w:p w:rsidR="00BB5145" w:rsidRDefault="00BB5145">
      <w:pPr>
        <w:pStyle w:val="PargrafodaLista"/>
      </w:pPr>
    </w:p>
    <w:p w:rsidR="00BB5145" w:rsidRDefault="0096697B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 processo teve início em 11/09/2018. O projeto tem como título </w:t>
      </w:r>
      <w:r>
        <w:rPr>
          <w:rFonts w:ascii="Arial" w:hAnsi="Arial" w:cs="Arial"/>
          <w:bCs/>
          <w:sz w:val="24"/>
          <w:szCs w:val="24"/>
        </w:rPr>
        <w:t>“Cartas do Rio a Rua”. É</w:t>
      </w:r>
      <w:r>
        <w:rPr>
          <w:rFonts w:ascii="Arial" w:hAnsi="Arial" w:cs="Arial"/>
          <w:sz w:val="24"/>
          <w:szCs w:val="24"/>
        </w:rPr>
        <w:t xml:space="preserve"> coordenado pelo Prof. Dr. Josemir Almeida Barros e pela profa. Marc</w:t>
      </w:r>
      <w:r>
        <w:rPr>
          <w:rFonts w:ascii="Arial" w:hAnsi="Arial" w:cs="Arial"/>
          <w:sz w:val="24"/>
          <w:szCs w:val="24"/>
        </w:rPr>
        <w:t>ia Machado de Lima do departamento de Ciências da Educação. Fazem parte do projeto como membros o prof. Rafael Cristofoletti do DED, duas alunas egressas do curso de pedagogia da UNIR, três bolsistas PIBID, além de alunos que devem se integrar pela seleção</w:t>
      </w:r>
      <w:r>
        <w:rPr>
          <w:rFonts w:ascii="Arial" w:hAnsi="Arial" w:cs="Arial"/>
          <w:sz w:val="24"/>
          <w:szCs w:val="24"/>
        </w:rPr>
        <w:t xml:space="preserve"> no PIBEC. Tem como Área temática principal a Educação e Linha de extensão Formação de professores. O projeto visa fomentar o diálogo entre crianças de diferentes comunidades de Porto Velho pela troca de cartas. Busca colaborar com o desenvolvimento da esc</w:t>
      </w:r>
      <w:r>
        <w:rPr>
          <w:rFonts w:ascii="Arial" w:hAnsi="Arial" w:cs="Arial"/>
          <w:sz w:val="24"/>
          <w:szCs w:val="24"/>
        </w:rPr>
        <w:t>rita das crianças, mas acima de tudo permitir uma narrativa de mundo pela perspectiva das crianças. Apresenta como objetivos “Produzir as condições de escuta atenta da criança; produzir condições de estabelecimento de rede de interlocução entre crianças; f</w:t>
      </w:r>
      <w:r>
        <w:rPr>
          <w:rFonts w:ascii="Arial" w:hAnsi="Arial" w:cs="Arial"/>
          <w:sz w:val="24"/>
          <w:szCs w:val="24"/>
        </w:rPr>
        <w:t xml:space="preserve">avorecer a ocorrência de interação entre temas e os efeitos da infância articulados com a formação de educadores pela compreensão de que crianças tem saberes próprios”. </w:t>
      </w:r>
    </w:p>
    <w:p w:rsidR="00BB5145" w:rsidRDefault="009669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público alvo é constituído por crianças da comunidade de Nazaré, especialmente Aluno</w:t>
      </w:r>
      <w:r>
        <w:rPr>
          <w:rFonts w:ascii="Arial" w:hAnsi="Arial" w:cs="Arial"/>
          <w:sz w:val="24"/>
          <w:szCs w:val="24"/>
        </w:rPr>
        <w:t>s da EMEF Manuel Maciel Nunes, alunos de escolas urbanas de Porto Velho EMEF Nossa Senhora do Amparo e EMEI Moranguinho, além da EMEF São Sebastião I localizada em zona rural. Por tratar-se de proposta de Programa, a carga horária, não está disponível. O p</w:t>
      </w:r>
      <w:r>
        <w:rPr>
          <w:rFonts w:ascii="Arial" w:hAnsi="Arial" w:cs="Arial"/>
          <w:sz w:val="24"/>
          <w:szCs w:val="24"/>
        </w:rPr>
        <w:t xml:space="preserve">rograma tem cronograma iniciando em 02/2019 e finalizando em 10/2022.    </w:t>
      </w:r>
    </w:p>
    <w:p w:rsidR="00BB5145" w:rsidRDefault="009669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apresenta Integração entre Universidade, Escolas e comunidade em geral. O programa tem uma proposta que busca integração entre alunos de diferentes localidades favorecendo </w:t>
      </w:r>
      <w:r>
        <w:rPr>
          <w:rFonts w:ascii="Arial" w:hAnsi="Arial" w:cs="Arial"/>
          <w:sz w:val="24"/>
          <w:szCs w:val="24"/>
        </w:rPr>
        <w:t>a troca de percepções de mundo pela perspectiva das crianças. Paralelo ao ganho em termos de criação de vínculos comunitários e fortalecimento de uma cultura de valorização da infância aparece o desenvolvimento nas habilidades de escrita dos alunos partici</w:t>
      </w:r>
      <w:r>
        <w:rPr>
          <w:rFonts w:ascii="Arial" w:hAnsi="Arial" w:cs="Arial"/>
          <w:sz w:val="24"/>
          <w:szCs w:val="24"/>
        </w:rPr>
        <w:t xml:space="preserve">pantes. O programa promove ainda um vínculo entre a </w:t>
      </w:r>
      <w:r>
        <w:rPr>
          <w:rFonts w:ascii="Arial" w:hAnsi="Arial" w:cs="Arial"/>
          <w:sz w:val="24"/>
          <w:szCs w:val="24"/>
        </w:rPr>
        <w:lastRenderedPageBreak/>
        <w:t>Universidade e as escolas, vínculo que tem sempre enorme potencial pela troca de conhecimentos acadêmicos e pela formação de alunos que se envolvem da relação que é fruto deste vínculo.</w:t>
      </w:r>
      <w:r>
        <w:rPr>
          <w:rFonts w:ascii="Arial" w:eastAsia="Arial" w:hAnsi="Arial" w:cs="Arial"/>
          <w:bCs/>
          <w:sz w:val="24"/>
          <w:szCs w:val="24"/>
        </w:rPr>
        <w:t xml:space="preserve"> O programa tem gra</w:t>
      </w:r>
      <w:r>
        <w:rPr>
          <w:rFonts w:ascii="Arial" w:eastAsia="Arial" w:hAnsi="Arial" w:cs="Arial"/>
          <w:bCs/>
          <w:sz w:val="24"/>
          <w:szCs w:val="24"/>
        </w:rPr>
        <w:t>nde relevância Acadêmica e Social e está desenhado de acordo com o conceito de extensão e as normas internas</w:t>
      </w:r>
    </w:p>
    <w:p w:rsidR="00BB5145" w:rsidRDefault="009669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B5145" w:rsidRDefault="0096697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B5145" w:rsidRDefault="0096697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PARECER</w:t>
      </w:r>
    </w:p>
    <w:p w:rsidR="00BB5145" w:rsidRDefault="00BB5145">
      <w:pPr>
        <w:jc w:val="both"/>
      </w:pPr>
    </w:p>
    <w:p w:rsidR="00BB5145" w:rsidRDefault="0096697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Considerando o acima exposto, sou de parecer FAVORÁVEL à aprovação do Programa.             </w:t>
      </w:r>
    </w:p>
    <w:p w:rsidR="00BB5145" w:rsidRDefault="0096697B">
      <w:pPr>
        <w:pStyle w:val="NormalWeb"/>
        <w:spacing w:before="0" w:after="0"/>
        <w:jc w:val="both"/>
      </w:pPr>
      <w:r>
        <w:rPr>
          <w:rFonts w:ascii="Arial" w:hAnsi="Arial" w:cs="Arial"/>
          <w:sz w:val="24"/>
          <w:szCs w:val="24"/>
        </w:rPr>
        <w:t xml:space="preserve">. </w:t>
      </w:r>
    </w:p>
    <w:p w:rsidR="00BB5145" w:rsidRDefault="00BB5145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BB5145" w:rsidRDefault="0096697B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BB5145" w:rsidRDefault="00BB5145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5145" w:rsidRDefault="00BB5145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</w:pPr>
    </w:p>
    <w:p w:rsidR="00BB5145" w:rsidRDefault="0096697B">
      <w:pPr>
        <w:ind w:right="-1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Porto</w:t>
      </w:r>
      <w:r>
        <w:rPr>
          <w:rFonts w:ascii="Arial" w:hAnsi="Arial" w:cs="Arial"/>
          <w:sz w:val="24"/>
          <w:szCs w:val="24"/>
        </w:rPr>
        <w:t xml:space="preserve"> Velho, 28 de setembro de 2018.</w:t>
      </w:r>
    </w:p>
    <w:p w:rsidR="00BB5145" w:rsidRDefault="00BB514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BB5145" w:rsidRDefault="0096697B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Conselheiro Márcio Secco</w:t>
      </w:r>
    </w:p>
    <w:p w:rsidR="00BB5145" w:rsidRDefault="0096697B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Relator CPE/CONSEA</w:t>
      </w: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B5145" w:rsidRDefault="00BB5145">
      <w:pPr>
        <w:pStyle w:val="WW-Padro"/>
        <w:spacing w:after="0" w:line="240" w:lineRule="auto"/>
        <w:jc w:val="center"/>
      </w:pPr>
    </w:p>
    <w:p w:rsidR="00BB5145" w:rsidRDefault="00BB5145">
      <w:pPr>
        <w:ind w:firstLine="567"/>
        <w:jc w:val="center"/>
        <w:rPr>
          <w:rFonts w:ascii="Arial" w:hAnsi="Arial" w:cs="Arial"/>
        </w:rPr>
      </w:pPr>
    </w:p>
    <w:tbl>
      <w:tblPr>
        <w:tblW w:w="98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5171"/>
      </w:tblGrid>
      <w:tr w:rsidR="00BB5145">
        <w:trPr>
          <w:trHeight w:val="904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96697B">
            <w:pPr>
              <w:pStyle w:val="Ttulo8"/>
              <w:numPr>
                <w:ilvl w:val="7"/>
                <w:numId w:val="2"/>
              </w:numPr>
              <w:snapToGrid w:val="0"/>
              <w:spacing w:before="0" w:after="0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940050" cy="57150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BB5145">
            <w:pPr>
              <w:rPr>
                <w:rFonts w:ascii="Arial" w:hAnsi="Arial" w:cs="Arial"/>
                <w:b/>
                <w:bCs/>
                <w:lang w:bidi="hi-IN"/>
              </w:rPr>
            </w:pPr>
          </w:p>
          <w:p w:rsidR="00BB5145" w:rsidRDefault="0096697B">
            <w:pPr>
              <w:tabs>
                <w:tab w:val="left" w:pos="0"/>
              </w:tabs>
              <w:spacing w:line="360" w:lineRule="auto"/>
              <w:ind w:left="57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BB5145" w:rsidRDefault="00BB51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145">
        <w:trPr>
          <w:cantSplit/>
          <w:trHeight w:val="1125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B5145" w:rsidRDefault="00BB5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145" w:rsidRDefault="0096697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9669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Da Presidência dos Conselhos Superiores</w:t>
            </w: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96697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1" w:name="_GoBack"/>
            <w:bookmarkEnd w:id="1"/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BB5145">
        <w:trPr>
          <w:cantSplit/>
          <w:trHeight w:val="773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B5145" w:rsidRDefault="0096697B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bookmarkStart w:id="2" w:name="__DdeLink__891_20934712471"/>
            <w:r>
              <w:rPr>
                <w:rFonts w:ascii="Arial" w:eastAsia="Arial" w:hAnsi="Arial" w:cs="Arial"/>
                <w:color w:val="000000"/>
              </w:rPr>
              <w:t>23118.00</w:t>
            </w:r>
            <w:bookmarkEnd w:id="2"/>
            <w:r>
              <w:rPr>
                <w:rFonts w:ascii="Arial" w:eastAsia="Arial" w:hAnsi="Arial" w:cs="Arial"/>
                <w:color w:val="000000"/>
              </w:rPr>
              <w:t>3145/2018-88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BB514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BB5145">
        <w:trPr>
          <w:cantSplit/>
          <w:trHeight w:val="2001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B5145" w:rsidRDefault="0096697B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2334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CPE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B5145" w:rsidRDefault="00BB5145">
            <w:pPr>
              <w:rPr>
                <w:rFonts w:ascii="Arial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BB5145">
        <w:trPr>
          <w:trHeight w:val="45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96697B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“Cartas do Rio a Rua”. </w:t>
            </w:r>
          </w:p>
        </w:tc>
      </w:tr>
      <w:tr w:rsidR="00BB5145">
        <w:trPr>
          <w:trHeight w:val="296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96697B">
            <w:r>
              <w:rPr>
                <w:rFonts w:ascii="Arial" w:hAnsi="Arial" w:cs="Arial"/>
                <w:b/>
              </w:rPr>
              <w:t>Interessada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Dr. Márcia Machado de Lima </w:t>
            </w:r>
          </w:p>
        </w:tc>
      </w:tr>
      <w:tr w:rsidR="00BB5145">
        <w:trPr>
          <w:trHeight w:val="33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45" w:rsidRDefault="0096697B">
            <w:r>
              <w:rPr>
                <w:rFonts w:ascii="Arial" w:hAnsi="Arial" w:cs="Arial"/>
                <w:b/>
              </w:rPr>
              <w:t>Relator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BB5145" w:rsidRDefault="00BB5145">
      <w:pPr>
        <w:ind w:right="51"/>
        <w:jc w:val="both"/>
        <w:rPr>
          <w:rFonts w:ascii="Arial" w:hAnsi="Arial" w:cs="Arial"/>
          <w:b/>
          <w:color w:val="000000"/>
        </w:rPr>
      </w:pPr>
    </w:p>
    <w:p w:rsidR="00BB5145" w:rsidRDefault="00BB5145">
      <w:pPr>
        <w:ind w:right="51"/>
        <w:jc w:val="both"/>
        <w:rPr>
          <w:rFonts w:ascii="Arial" w:hAnsi="Arial" w:cs="Arial"/>
          <w:b/>
          <w:color w:val="000000"/>
        </w:rPr>
      </w:pPr>
    </w:p>
    <w:p w:rsidR="00BB5145" w:rsidRDefault="0096697B">
      <w:pPr>
        <w:ind w:right="51"/>
        <w:jc w:val="both"/>
      </w:pPr>
      <w:r>
        <w:rPr>
          <w:rFonts w:ascii="Arial" w:hAnsi="Arial" w:cs="Arial"/>
          <w:b/>
          <w:color w:val="000000"/>
        </w:rPr>
        <w:t>Decisão:</w:t>
      </w: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BB5145" w:rsidRDefault="0096697B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lang w:eastAsia="en-US"/>
        </w:rPr>
        <w:t xml:space="preserve"> por unanimidade a câmara acompanha o parecer em tela, cujo relator é de parecer favorável.</w:t>
      </w:r>
      <w:r>
        <w:rPr>
          <w:rStyle w:val="Fontepargpadro1"/>
          <w:rFonts w:ascii="Arial" w:hAnsi="Arial" w:cs="Arial"/>
          <w:color w:val="FF3333"/>
          <w:szCs w:val="24"/>
          <w:lang w:eastAsia="en-US"/>
        </w:rPr>
        <w:t xml:space="preserve"> </w:t>
      </w:r>
    </w:p>
    <w:p w:rsidR="00BB5145" w:rsidRDefault="00BB5145">
      <w:pPr>
        <w:tabs>
          <w:tab w:val="left" w:pos="534"/>
        </w:tabs>
        <w:spacing w:line="360" w:lineRule="auto"/>
        <w:jc w:val="both"/>
        <w:rPr>
          <w:rStyle w:val="Fontepargpadro1"/>
          <w:rFonts w:ascii="Arial" w:hAnsi="Arial" w:cs="Arial"/>
          <w:bCs/>
          <w:color w:val="000000"/>
          <w:lang w:eastAsia="en-US"/>
        </w:rPr>
      </w:pP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BB5145" w:rsidRDefault="00BB514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96697B" w:rsidRDefault="0096697B" w:rsidP="0096697B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  <w:t xml:space="preserve">                                            </w:t>
      </w:r>
    </w:p>
    <w:p w:rsidR="00BB5145" w:rsidRDefault="0096697B" w:rsidP="0096697B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Conselheiro Márcio </w:t>
      </w:r>
      <w:proofErr w:type="spellStart"/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>Secco</w:t>
      </w:r>
      <w:proofErr w:type="spellEnd"/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                                             </w:t>
      </w:r>
    </w:p>
    <w:p w:rsidR="00BB5145" w:rsidRDefault="0096697B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Presidente </w:t>
      </w:r>
    </w:p>
    <w:sectPr w:rsidR="00BB5145">
      <w:headerReference w:type="default" r:id="rId11"/>
      <w:footerReference w:type="default" r:id="rId12"/>
      <w:pgSz w:w="11906" w:h="16838"/>
      <w:pgMar w:top="766" w:right="851" w:bottom="1380" w:left="1418" w:header="709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97B">
      <w:r>
        <w:separator/>
      </w:r>
    </w:p>
  </w:endnote>
  <w:endnote w:type="continuationSeparator" w:id="0">
    <w:p w:rsidR="00000000" w:rsidRDefault="009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5" w:rsidRDefault="00BB5145">
    <w:pPr>
      <w:pStyle w:val="WW-Padro"/>
      <w:spacing w:after="0" w:line="240" w:lineRule="auto"/>
      <w:jc w:val="center"/>
      <w:rPr>
        <w:rFonts w:ascii="Arial" w:hAnsi="Arial" w:cs="Arial"/>
        <w:color w:val="00000A"/>
        <w:sz w:val="24"/>
        <w:szCs w:val="24"/>
      </w:rPr>
    </w:pPr>
  </w:p>
  <w:tbl>
    <w:tblPr>
      <w:tblW w:w="9756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3538"/>
      <w:gridCol w:w="3259"/>
      <w:gridCol w:w="2959"/>
    </w:tblGrid>
    <w:tr w:rsidR="00BB5145">
      <w:tc>
        <w:tcPr>
          <w:tcW w:w="3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BB5145" w:rsidRDefault="0096697B">
          <w:r>
            <w:rPr>
              <w:rFonts w:ascii="Arial" w:hAnsi="Arial" w:cs="Arial"/>
            </w:rPr>
            <w:t>Câmara de Pesquisa e Extensão</w:t>
          </w:r>
        </w:p>
      </w:tc>
      <w:tc>
        <w:tcPr>
          <w:tcW w:w="325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BB5145" w:rsidRDefault="0096697B">
          <w:r>
            <w:rPr>
              <w:rFonts w:ascii="Arial" w:hAnsi="Arial" w:cs="Arial"/>
            </w:rPr>
            <w:t>Processo 23118.003145/2018-88</w:t>
          </w:r>
        </w:p>
      </w:tc>
      <w:tc>
        <w:tcPr>
          <w:tcW w:w="295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BB5145" w:rsidRDefault="0096697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Parecer 2334/CPE</w:t>
          </w:r>
        </w:p>
      </w:tc>
    </w:tr>
  </w:tbl>
  <w:p w:rsidR="00BB5145" w:rsidRDefault="00BB514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697B">
      <w:r>
        <w:separator/>
      </w:r>
    </w:p>
  </w:footnote>
  <w:footnote w:type="continuationSeparator" w:id="0">
    <w:p w:rsidR="00000000" w:rsidRDefault="0096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5" w:rsidRDefault="00BB514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70"/>
    <w:multiLevelType w:val="multilevel"/>
    <w:tmpl w:val="6C74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4D7275"/>
    <w:multiLevelType w:val="multilevel"/>
    <w:tmpl w:val="8C4CE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A95083"/>
    <w:multiLevelType w:val="multilevel"/>
    <w:tmpl w:val="CD583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1F6D"/>
    <w:multiLevelType w:val="multilevel"/>
    <w:tmpl w:val="C3A297AE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5D8D"/>
    <w:multiLevelType w:val="multilevel"/>
    <w:tmpl w:val="5720D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45"/>
    <w:rsid w:val="0096697B"/>
    <w:rsid w:val="00B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9B"/>
    <w:pPr>
      <w:suppressAutoHyphens/>
      <w:snapToGrid w:val="0"/>
    </w:pPr>
    <w:rPr>
      <w:color w:val="00000A"/>
      <w:lang w:eastAsia="zh-CN"/>
    </w:rPr>
  </w:style>
  <w:style w:type="paragraph" w:styleId="Ttulo3">
    <w:name w:val="heading 3"/>
    <w:basedOn w:val="Normal"/>
    <w:next w:val="Normal"/>
    <w:qFormat/>
    <w:rsid w:val="00406B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406B9B"/>
    <w:pPr>
      <w:numPr>
        <w:ilvl w:val="6"/>
        <w:numId w:val="1"/>
      </w:numPr>
      <w:snapToGrid/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qFormat/>
    <w:rsid w:val="00406B9B"/>
    <w:pPr>
      <w:numPr>
        <w:ilvl w:val="7"/>
        <w:numId w:val="1"/>
      </w:numPr>
      <w:snapToGri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06B9B"/>
  </w:style>
  <w:style w:type="character" w:customStyle="1" w:styleId="WW8Num1z1">
    <w:name w:val="WW8Num1z1"/>
    <w:qFormat/>
    <w:rsid w:val="00406B9B"/>
  </w:style>
  <w:style w:type="character" w:customStyle="1" w:styleId="WW8Num1z2">
    <w:name w:val="WW8Num1z2"/>
    <w:qFormat/>
    <w:rsid w:val="00406B9B"/>
    <w:rPr>
      <w:rFonts w:cs="Times New Roman"/>
    </w:rPr>
  </w:style>
  <w:style w:type="character" w:customStyle="1" w:styleId="WW8Num1z3">
    <w:name w:val="WW8Num1z3"/>
    <w:qFormat/>
    <w:rsid w:val="00406B9B"/>
  </w:style>
  <w:style w:type="character" w:customStyle="1" w:styleId="WW8Num1z4">
    <w:name w:val="WW8Num1z4"/>
    <w:qFormat/>
    <w:rsid w:val="00406B9B"/>
  </w:style>
  <w:style w:type="character" w:customStyle="1" w:styleId="WW8Num1z5">
    <w:name w:val="WW8Num1z5"/>
    <w:qFormat/>
    <w:rsid w:val="00406B9B"/>
  </w:style>
  <w:style w:type="character" w:customStyle="1" w:styleId="WW8Num1z8">
    <w:name w:val="WW8Num1z8"/>
    <w:qFormat/>
    <w:rsid w:val="00406B9B"/>
  </w:style>
  <w:style w:type="character" w:customStyle="1" w:styleId="Fontepargpadro2">
    <w:name w:val="Fonte parág. padrão2"/>
    <w:qFormat/>
    <w:rsid w:val="00406B9B"/>
  </w:style>
  <w:style w:type="character" w:customStyle="1" w:styleId="WW8Num2z0">
    <w:name w:val="WW8Num2z0"/>
    <w:qFormat/>
    <w:rsid w:val="00406B9B"/>
  </w:style>
  <w:style w:type="character" w:customStyle="1" w:styleId="WW8Num2z1">
    <w:name w:val="WW8Num2z1"/>
    <w:qFormat/>
    <w:rsid w:val="00406B9B"/>
  </w:style>
  <w:style w:type="character" w:customStyle="1" w:styleId="WW8Num2z2">
    <w:name w:val="WW8Num2z2"/>
    <w:qFormat/>
    <w:rsid w:val="00406B9B"/>
  </w:style>
  <w:style w:type="character" w:customStyle="1" w:styleId="WW8Num2z3">
    <w:name w:val="WW8Num2z3"/>
    <w:qFormat/>
    <w:rsid w:val="00406B9B"/>
  </w:style>
  <w:style w:type="character" w:customStyle="1" w:styleId="WW8Num2z4">
    <w:name w:val="WW8Num2z4"/>
    <w:qFormat/>
    <w:rsid w:val="00406B9B"/>
  </w:style>
  <w:style w:type="character" w:customStyle="1" w:styleId="WW8Num2z5">
    <w:name w:val="WW8Num2z5"/>
    <w:qFormat/>
    <w:rsid w:val="00406B9B"/>
  </w:style>
  <w:style w:type="character" w:customStyle="1" w:styleId="WW8Num2z6">
    <w:name w:val="WW8Num2z6"/>
    <w:qFormat/>
    <w:rsid w:val="00406B9B"/>
  </w:style>
  <w:style w:type="character" w:customStyle="1" w:styleId="WW8Num2z7">
    <w:name w:val="WW8Num2z7"/>
    <w:qFormat/>
    <w:rsid w:val="00406B9B"/>
  </w:style>
  <w:style w:type="character" w:customStyle="1" w:styleId="WW8Num2z8">
    <w:name w:val="WW8Num2z8"/>
    <w:qFormat/>
    <w:rsid w:val="00406B9B"/>
  </w:style>
  <w:style w:type="character" w:customStyle="1" w:styleId="WW8Num3z0">
    <w:name w:val="WW8Num3z0"/>
    <w:qFormat/>
    <w:rsid w:val="00406B9B"/>
  </w:style>
  <w:style w:type="character" w:customStyle="1" w:styleId="WW8Num3z1">
    <w:name w:val="WW8Num3z1"/>
    <w:qFormat/>
    <w:rsid w:val="00406B9B"/>
  </w:style>
  <w:style w:type="character" w:customStyle="1" w:styleId="WW8Num3z2">
    <w:name w:val="WW8Num3z2"/>
    <w:qFormat/>
    <w:rsid w:val="00406B9B"/>
  </w:style>
  <w:style w:type="character" w:customStyle="1" w:styleId="WW8Num3z3">
    <w:name w:val="WW8Num3z3"/>
    <w:qFormat/>
    <w:rsid w:val="00406B9B"/>
  </w:style>
  <w:style w:type="character" w:customStyle="1" w:styleId="WW8Num3z4">
    <w:name w:val="WW8Num3z4"/>
    <w:qFormat/>
    <w:rsid w:val="00406B9B"/>
  </w:style>
  <w:style w:type="character" w:customStyle="1" w:styleId="WW8Num3z5">
    <w:name w:val="WW8Num3z5"/>
    <w:qFormat/>
    <w:rsid w:val="00406B9B"/>
  </w:style>
  <w:style w:type="character" w:customStyle="1" w:styleId="WW8Num3z6">
    <w:name w:val="WW8Num3z6"/>
    <w:qFormat/>
    <w:rsid w:val="00406B9B"/>
  </w:style>
  <w:style w:type="character" w:customStyle="1" w:styleId="WW8Num3z7">
    <w:name w:val="WW8Num3z7"/>
    <w:qFormat/>
    <w:rsid w:val="00406B9B"/>
  </w:style>
  <w:style w:type="character" w:customStyle="1" w:styleId="WW8Num3z8">
    <w:name w:val="WW8Num3z8"/>
    <w:qFormat/>
    <w:rsid w:val="00406B9B"/>
  </w:style>
  <w:style w:type="character" w:customStyle="1" w:styleId="Fontepargpadro1">
    <w:name w:val="Fonte parág. padrão1"/>
    <w:qFormat/>
    <w:rsid w:val="00406B9B"/>
  </w:style>
  <w:style w:type="character" w:customStyle="1" w:styleId="Ttulo3Char">
    <w:name w:val="Título 3 Char"/>
    <w:qFormat/>
    <w:rsid w:val="00406B9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7Char">
    <w:name w:val="Título 7 Char"/>
    <w:qFormat/>
    <w:rsid w:val="00406B9B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qFormat/>
    <w:rsid w:val="00406B9B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qFormat/>
    <w:rsid w:val="00406B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qFormat/>
    <w:rsid w:val="00406B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sid w:val="00406B9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nkdaInternet">
    <w:name w:val="Link da Internet"/>
    <w:rsid w:val="00406B9B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" w:hAnsi="Arial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06B9B"/>
    <w:pPr>
      <w:spacing w:after="140" w:line="288" w:lineRule="auto"/>
    </w:pPr>
  </w:style>
  <w:style w:type="paragraph" w:styleId="Lista">
    <w:name w:val="List"/>
    <w:basedOn w:val="Corpodetexto"/>
    <w:rsid w:val="00406B9B"/>
    <w:rPr>
      <w:rFonts w:cs="Arial"/>
    </w:rPr>
  </w:style>
  <w:style w:type="paragraph" w:styleId="Legenda">
    <w:name w:val="caption"/>
    <w:basedOn w:val="Normal"/>
    <w:qFormat/>
    <w:rsid w:val="00406B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06B9B"/>
    <w:pPr>
      <w:suppressLineNumbers/>
    </w:pPr>
    <w:rPr>
      <w:rFonts w:cs="Arial"/>
    </w:rPr>
  </w:style>
  <w:style w:type="paragraph" w:customStyle="1" w:styleId="Ttulo2">
    <w:name w:val="Título2"/>
    <w:basedOn w:val="Normal"/>
    <w:qFormat/>
    <w:rsid w:val="00406B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06B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sid w:val="00406B9B"/>
  </w:style>
  <w:style w:type="paragraph" w:customStyle="1" w:styleId="WW-Padro">
    <w:name w:val="WW-Padrão"/>
    <w:qFormat/>
    <w:rsid w:val="00406B9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NormalWeb">
    <w:name w:val="Normal (Web)"/>
    <w:basedOn w:val="Normal"/>
    <w:qFormat/>
    <w:rsid w:val="00406B9B"/>
    <w:pPr>
      <w:spacing w:before="280" w:after="280"/>
    </w:pPr>
    <w:rPr>
      <w:color w:val="000000"/>
    </w:rPr>
  </w:style>
  <w:style w:type="paragraph" w:styleId="PargrafodaLista">
    <w:name w:val="List Paragraph"/>
    <w:basedOn w:val="Normal"/>
    <w:qFormat/>
    <w:rsid w:val="00406B9B"/>
    <w:pPr>
      <w:ind w:left="720"/>
      <w:contextualSpacing/>
    </w:pPr>
  </w:style>
  <w:style w:type="paragraph" w:styleId="Rodap">
    <w:name w:val="footer"/>
    <w:basedOn w:val="Normal"/>
    <w:rsid w:val="00406B9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406B9B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406B9B"/>
    <w:pPr>
      <w:suppressLineNumbers/>
    </w:pPr>
  </w:style>
  <w:style w:type="paragraph" w:customStyle="1" w:styleId="Ttulodetabela">
    <w:name w:val="Título de tabela"/>
    <w:basedOn w:val="Contedodatabela"/>
    <w:qFormat/>
    <w:rsid w:val="00406B9B"/>
    <w:pPr>
      <w:jc w:val="center"/>
    </w:pPr>
    <w:rPr>
      <w:b/>
      <w:bCs/>
    </w:rPr>
  </w:style>
  <w:style w:type="paragraph" w:customStyle="1" w:styleId="Standard">
    <w:name w:val="Standard"/>
    <w:qFormat/>
    <w:rsid w:val="00406B9B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636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Carneiro</dc:creator>
  <dc:description/>
  <cp:lastModifiedBy>UNIR</cp:lastModifiedBy>
  <cp:revision>26</cp:revision>
  <cp:lastPrinted>2018-09-21T18:40:00Z</cp:lastPrinted>
  <dcterms:created xsi:type="dcterms:W3CDTF">2018-09-30T23:11:00Z</dcterms:created>
  <dcterms:modified xsi:type="dcterms:W3CDTF">2018-10-17T19:30:00Z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